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к </w:t>
      </w:r>
      <w:r w:rsidR="004E772C">
        <w:rPr>
          <w:rFonts w:ascii="Times New Roman" w:hAnsi="Times New Roman"/>
          <w:sz w:val="24"/>
          <w:szCs w:val="24"/>
        </w:rPr>
        <w:t>ООП-</w:t>
      </w:r>
      <w:r w:rsidRPr="002E37B5">
        <w:rPr>
          <w:rFonts w:ascii="Times New Roman" w:hAnsi="Times New Roman"/>
          <w:sz w:val="24"/>
          <w:szCs w:val="24"/>
        </w:rPr>
        <w:t>ППССЗ по специальности</w:t>
      </w:r>
    </w:p>
    <w:p w:rsidR="004E772C" w:rsidRDefault="002426D0" w:rsidP="004E772C">
      <w:pPr>
        <w:spacing w:after="0" w:line="24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23.02.09</w:t>
      </w:r>
      <w:r w:rsidR="009D500A">
        <w:rPr>
          <w:rFonts w:ascii="Times New Roman" w:hAnsi="Times New Roman" w:cs="Times New Roman"/>
          <w:spacing w:val="-2"/>
          <w:sz w:val="24"/>
          <w:szCs w:val="24"/>
        </w:rPr>
        <w:t xml:space="preserve"> </w:t>
      </w:r>
      <w:r w:rsidRPr="002426D0">
        <w:rPr>
          <w:rFonts w:ascii="Times New Roman" w:hAnsi="Times New Roman" w:cs="Times New Roman"/>
          <w:spacing w:val="-2"/>
          <w:sz w:val="24"/>
          <w:szCs w:val="24"/>
        </w:rPr>
        <w:t>Автоматика и телемеханика</w:t>
      </w:r>
    </w:p>
    <w:p w:rsidR="00915769" w:rsidRPr="002426D0" w:rsidRDefault="002426D0" w:rsidP="004E772C">
      <w:pPr>
        <w:spacing w:after="0" w:line="240" w:lineRule="auto"/>
        <w:jc w:val="right"/>
        <w:rPr>
          <w:rFonts w:ascii="Times New Roman" w:hAnsi="Times New Roman" w:cs="Times New Roman"/>
          <w:spacing w:val="-2"/>
          <w:sz w:val="24"/>
          <w:szCs w:val="24"/>
        </w:rPr>
      </w:pPr>
      <w:r w:rsidRPr="002426D0">
        <w:rPr>
          <w:rFonts w:ascii="Times New Roman" w:hAnsi="Times New Roman" w:cs="Times New Roman"/>
          <w:spacing w:val="-2"/>
          <w:sz w:val="24"/>
          <w:szCs w:val="24"/>
        </w:rPr>
        <w:t xml:space="preserve"> на транспорте (железнодорожном транспорте)</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816077" w:rsidRDefault="00816077" w:rsidP="00816077">
      <w:pPr>
        <w:spacing w:after="0" w:line="360" w:lineRule="auto"/>
        <w:jc w:val="center"/>
        <w:rPr>
          <w:rFonts w:ascii="Times New Roman" w:hAnsi="Times New Roman"/>
          <w:b/>
          <w:sz w:val="24"/>
        </w:rPr>
      </w:pPr>
      <w:r>
        <w:rPr>
          <w:rFonts w:ascii="Times New Roman" w:hAnsi="Times New Roman"/>
          <w:b/>
          <w:sz w:val="24"/>
        </w:rPr>
        <w:t>РАБОЧАЯ ПРОГРАММА</w:t>
      </w:r>
    </w:p>
    <w:p w:rsidR="00816077" w:rsidRDefault="00816077" w:rsidP="00816077">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816077" w:rsidRDefault="00816077" w:rsidP="00816077">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816077" w:rsidP="00816077">
      <w:pPr>
        <w:tabs>
          <w:tab w:val="center" w:pos="4819"/>
          <w:tab w:val="left" w:pos="6525"/>
        </w:tabs>
        <w:spacing w:line="360" w:lineRule="auto"/>
        <w:rPr>
          <w:rFonts w:ascii="Times New Roman" w:hAnsi="Times New Roman"/>
          <w:b/>
          <w:sz w:val="24"/>
        </w:rPr>
      </w:pPr>
      <w:r>
        <w:rPr>
          <w:rFonts w:ascii="Times New Roman" w:hAnsi="Times New Roman"/>
          <w:b/>
          <w:sz w:val="24"/>
        </w:rPr>
        <w:tab/>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9D500A" w:rsidRPr="009D500A" w:rsidRDefault="00A15019" w:rsidP="009D500A">
      <w:pPr>
        <w:spacing w:line="36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23.02.09</w:t>
      </w:r>
      <w:r w:rsidR="009D500A" w:rsidRPr="009D500A">
        <w:rPr>
          <w:rFonts w:ascii="Times New Roman" w:hAnsi="Times New Roman" w:cs="Times New Roman"/>
          <w:b/>
          <w:spacing w:val="-2"/>
          <w:sz w:val="24"/>
          <w:szCs w:val="24"/>
        </w:rPr>
        <w:t xml:space="preserve"> </w:t>
      </w:r>
      <w:r w:rsidRPr="00A15019">
        <w:rPr>
          <w:rFonts w:ascii="Times New Roman" w:hAnsi="Times New Roman" w:cs="Times New Roman"/>
          <w:b/>
          <w:spacing w:val="-2"/>
          <w:sz w:val="24"/>
          <w:szCs w:val="24"/>
        </w:rPr>
        <w:t>Автоматика и телемеханика на транспорте (железнодорожном транспорте)</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A138B8">
        <w:rPr>
          <w:rFonts w:ascii="Times New Roman" w:hAnsi="Times New Roman"/>
          <w:i/>
          <w:sz w:val="24"/>
        </w:rPr>
        <w:t>6</w:t>
      </w:r>
      <w:r>
        <w:rPr>
          <w:rFonts w:ascii="Times New Roman" w:hAnsi="Times New Roman"/>
          <w:i/>
          <w:sz w:val="24"/>
        </w:rPr>
        <w:t xml:space="preserve">) </w:t>
      </w:r>
    </w:p>
    <w:p w:rsidR="00915769" w:rsidRDefault="00915769">
      <w:pPr>
        <w:pStyle w:val="12"/>
        <w:spacing w:after="0" w:line="312" w:lineRule="auto"/>
        <w:jc w:val="both"/>
      </w:pPr>
    </w:p>
    <w:p w:rsidR="00915769" w:rsidRDefault="00915769">
      <w:pPr>
        <w:pStyle w:val="12"/>
        <w:widowControl w:val="0"/>
        <w:spacing w:after="0" w:line="276" w:lineRule="exact"/>
        <w:ind w:right="143"/>
      </w:pPr>
    </w:p>
    <w:p w:rsidR="00915769" w:rsidRDefault="00915769">
      <w:pPr>
        <w:pStyle w:val="12"/>
        <w:widowControl w:val="0"/>
        <w:spacing w:after="0" w:line="276" w:lineRule="exact"/>
        <w:ind w:right="143"/>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2"/>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tblPr>
      <w:tblGrid>
        <w:gridCol w:w="7668"/>
        <w:gridCol w:w="1903"/>
      </w:tblGrid>
      <w:tr w:rsidR="00915769">
        <w:trPr>
          <w:trHeight w:val="428"/>
        </w:trPr>
        <w:tc>
          <w:tcPr>
            <w:tcW w:w="7668" w:type="dxa"/>
            <w:shd w:val="clear" w:color="auto" w:fill="auto"/>
          </w:tcPr>
          <w:p w:rsidR="00915769" w:rsidRDefault="00915769">
            <w:pPr>
              <w:pStyle w:val="12"/>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2"/>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2"/>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2"/>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7"/>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816077">
        <w:rPr>
          <w:rFonts w:ascii="Times New Roman" w:eastAsia="Calibri" w:hAnsi="Times New Roman" w:cs="Times New Roman"/>
          <w:b/>
          <w:sz w:val="24"/>
          <w:szCs w:val="24"/>
        </w:rPr>
        <w:t>УЧЕБНОГО ПРЕДМЕТА</w:t>
      </w:r>
    </w:p>
    <w:p w:rsidR="00915769" w:rsidRDefault="00816077"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816077">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00A15019">
        <w:rPr>
          <w:rFonts w:ascii="Times New Roman" w:eastAsia="Calibri" w:hAnsi="Times New Roman" w:cs="Times New Roman"/>
          <w:sz w:val="28"/>
          <w:szCs w:val="28"/>
        </w:rPr>
        <w:t>23.02.09</w:t>
      </w:r>
      <w:r w:rsidRPr="003731F6">
        <w:rPr>
          <w:rFonts w:ascii="Times New Roman" w:eastAsia="Calibri" w:hAnsi="Times New Roman" w:cs="Times New Roman"/>
          <w:sz w:val="28"/>
          <w:szCs w:val="28"/>
        </w:rPr>
        <w:t xml:space="preserve"> </w:t>
      </w:r>
      <w:r w:rsidRPr="00A15019">
        <w:rPr>
          <w:rFonts w:ascii="Times New Roman" w:eastAsia="Calibri" w:hAnsi="Times New Roman" w:cs="Times New Roman"/>
          <w:sz w:val="28"/>
          <w:szCs w:val="28"/>
        </w:rPr>
        <w:t>«</w:t>
      </w:r>
      <w:r w:rsidR="00A15019" w:rsidRPr="00A15019">
        <w:rPr>
          <w:rFonts w:ascii="Times New Roman" w:hAnsi="Times New Roman" w:cs="Times New Roman"/>
          <w:spacing w:val="-2"/>
          <w:sz w:val="28"/>
          <w:szCs w:val="28"/>
        </w:rPr>
        <w:t>Автоматика и телемеханика на транспорте (железнодорожном транспорте)</w:t>
      </w:r>
      <w:r w:rsidRPr="00A15019">
        <w:rPr>
          <w:rFonts w:ascii="Times New Roman" w:eastAsia="Calibri" w:hAnsi="Times New Roman" w:cs="Times New Roman"/>
          <w:sz w:val="28"/>
          <w:szCs w:val="28"/>
        </w:rPr>
        <w:t>».</w:t>
      </w:r>
      <w:r w:rsidRPr="003731F6">
        <w:rPr>
          <w:rFonts w:ascii="Times New Roman" w:eastAsia="Calibri" w:hAnsi="Times New Roman" w:cs="Times New Roman"/>
          <w:sz w:val="28"/>
          <w:szCs w:val="28"/>
        </w:rPr>
        <w:t xml:space="preserve">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816077">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0" w:name="_heading=h.tyjcwt" w:colFirst="0" w:colLast="0"/>
      <w:bookmarkEnd w:id="0"/>
      <w:r w:rsidR="00816077">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703394">
        <w:rPr>
          <w:rFonts w:ascii="Times New Roman" w:eastAsia="Times New Roman" w:hAnsi="Times New Roman" w:cs="Times New Roman"/>
          <w:sz w:val="28"/>
          <w:szCs w:val="28"/>
        </w:rPr>
        <w:t>2</w:t>
      </w:r>
      <w:r w:rsidR="00D66222" w:rsidRPr="00D66222">
        <w:rPr>
          <w:rFonts w:ascii="Times New Roman" w:eastAsia="Times New Roman" w:hAnsi="Times New Roman" w:cs="Times New Roman"/>
          <w:sz w:val="28"/>
          <w:szCs w:val="28"/>
        </w:rPr>
        <w:t>.1</w:t>
      </w:r>
      <w:r w:rsidRPr="00D66222">
        <w:rPr>
          <w:rFonts w:ascii="Times New Roman" w:eastAsia="Times New Roman" w:hAnsi="Times New Roman" w:cs="Times New Roman"/>
          <w:sz w:val="28"/>
          <w:szCs w:val="28"/>
        </w:rPr>
        <w:t>.</w:t>
      </w:r>
    </w:p>
    <w:tbl>
      <w:tblPr>
        <w:tblStyle w:val="afa"/>
        <w:tblW w:w="0" w:type="auto"/>
        <w:jc w:val="center"/>
        <w:tblLook w:val="04A0"/>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A76C93">
        <w:trPr>
          <w:jc w:val="center"/>
        </w:trPr>
        <w:tc>
          <w:tcPr>
            <w:tcW w:w="6658" w:type="dxa"/>
            <w:gridSpan w:val="2"/>
            <w:shd w:val="clear" w:color="auto" w:fill="auto"/>
          </w:tcPr>
          <w:p w:rsidR="00535EF6" w:rsidRDefault="00703394" w:rsidP="00816077">
            <w:pPr>
              <w:pStyle w:val="25"/>
              <w:shd w:val="clear" w:color="auto" w:fill="auto"/>
              <w:spacing w:before="0" w:after="0" w:line="240"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ПК 2</w:t>
            </w:r>
            <w:r w:rsidR="00535EF6" w:rsidRPr="00381416">
              <w:rPr>
                <w:rFonts w:ascii="Times New Roman" w:hAnsi="Times New Roman" w:cs="Times New Roman"/>
                <w:color w:val="000000"/>
                <w:sz w:val="24"/>
                <w:szCs w:val="24"/>
                <w:lang w:bidi="ru-RU"/>
              </w:rPr>
              <w:t>.1</w:t>
            </w:r>
            <w:r w:rsidR="00535EF6" w:rsidRPr="00381416">
              <w:rPr>
                <w:rFonts w:ascii="Times New Roman" w:hAnsi="Times New Roman" w:cs="Times New Roman"/>
                <w:sz w:val="24"/>
                <w:szCs w:val="24"/>
              </w:rPr>
              <w:t xml:space="preserve"> </w:t>
            </w:r>
            <w:r w:rsidR="00816077" w:rsidRPr="00816077">
              <w:rPr>
                <w:rFonts w:ascii="Times New Roman" w:hAnsi="Times New Roman" w:cs="Times New Roman"/>
                <w:sz w:val="24"/>
                <w:szCs w:val="24"/>
              </w:rPr>
              <w:t>Осуществлять определение и устранение отказов в работе станционных, перегонных, микропроцессорных и диагностических систем автоматики.</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1" w:name="bookmark0"/>
      <w:bookmarkEnd w:id="1"/>
      <w:r>
        <w:rPr>
          <w:rFonts w:ascii="Times New Roman" w:hAnsi="Times New Roman" w:cs="Times New Roman"/>
          <w:sz w:val="24"/>
          <w:szCs w:val="24"/>
        </w:rPr>
        <w:br w:type="page" w:clear="all"/>
      </w: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2"/>
        <w:spacing w:after="0" w:line="240" w:lineRule="auto"/>
        <w:jc w:val="center"/>
        <w:rPr>
          <w:rFonts w:ascii="Times New Roman" w:hAnsi="Times New Roman"/>
          <w:b/>
          <w:bCs/>
          <w:sz w:val="24"/>
          <w:szCs w:val="24"/>
        </w:rPr>
      </w:pP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7"/>
                <w:rFonts w:ascii="Times New Roman" w:hAnsi="Times New Roman"/>
                <w:b/>
              </w:rPr>
              <w:t xml:space="preserve">Формируемые компетенции (ОК) и </w:t>
            </w:r>
            <w:r w:rsidR="00B82F48">
              <w:rPr>
                <w:rStyle w:val="17"/>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7"/>
                <w:rFonts w:ascii="Times New Roman" w:hAnsi="Times New Roman"/>
              </w:rPr>
            </w:pPr>
            <w:r w:rsidRPr="00296BF7">
              <w:rPr>
                <w:rStyle w:val="17"/>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2"/>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2"/>
              <w:spacing w:after="0" w:line="240" w:lineRule="auto"/>
              <w:jc w:val="center"/>
              <w:rPr>
                <w:rFonts w:ascii="Times New Roman" w:hAnsi="Times New Roman"/>
                <w:sz w:val="24"/>
                <w:szCs w:val="24"/>
                <w:lang w:val="en-US"/>
              </w:rPr>
            </w:pPr>
          </w:p>
          <w:p w:rsidR="00225026" w:rsidRPr="00076E8C" w:rsidRDefault="00225026" w:rsidP="00D326CC">
            <w:pPr>
              <w:pStyle w:val="12"/>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2"/>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2"/>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2"/>
              <w:spacing w:after="0" w:line="240" w:lineRule="auto"/>
              <w:jc w:val="center"/>
              <w:rPr>
                <w:rFonts w:ascii="Times New Roman" w:hAnsi="Times New Roman"/>
                <w:sz w:val="24"/>
                <w:szCs w:val="24"/>
              </w:rPr>
            </w:pP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2"/>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Default="00D326CC" w:rsidP="00D326CC">
            <w:pPr>
              <w:pStyle w:val="12"/>
              <w:spacing w:after="0" w:line="240" w:lineRule="auto"/>
              <w:jc w:val="center"/>
              <w:rPr>
                <w:rFonts w:ascii="Times New Roman" w:hAnsi="Times New Roman"/>
                <w:sz w:val="24"/>
                <w:szCs w:val="24"/>
              </w:rPr>
            </w:pP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2"/>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bl>
    <w:p w:rsidR="00915769" w:rsidRDefault="0091576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2"/>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2"/>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2"/>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bookmarkStart w:id="2" w:name="_GoBack"/>
      <w:bookmarkEnd w:id="2"/>
      <w:r w:rsidR="00D917F4">
        <w:rPr>
          <w:rFonts w:ascii="Times New Roman" w:hAnsi="Times New Roman"/>
          <w:b/>
          <w:sz w:val="24"/>
          <w:szCs w:val="24"/>
        </w:rPr>
        <w:br w:type="page"/>
      </w:r>
    </w:p>
    <w:p w:rsidR="00915769" w:rsidRDefault="00692132">
      <w:pPr>
        <w:pStyle w:val="12"/>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2"/>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2"/>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2"/>
              <w:spacing w:after="0" w:line="240" w:lineRule="auto"/>
              <w:ind w:left="34" w:hanging="34"/>
              <w:jc w:val="center"/>
              <w:rPr>
                <w:rFonts w:ascii="Times New Roman" w:hAnsi="Times New Roman"/>
                <w:b/>
                <w:bCs/>
                <w:sz w:val="24"/>
                <w:szCs w:val="24"/>
                <w:highlight w:val="yellow"/>
              </w:rPr>
            </w:pPr>
            <w:r w:rsidRPr="004A474C">
              <w:rPr>
                <w:rStyle w:val="17"/>
                <w:rFonts w:ascii="Times New Roman" w:hAnsi="Times New Roman"/>
                <w:b/>
              </w:rPr>
              <w:t xml:space="preserve">Общие компетенции (ОК), </w:t>
            </w:r>
            <w:r w:rsidR="005E73C1">
              <w:rPr>
                <w:rStyle w:val="17"/>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7"/>
          <w:rFonts w:ascii="Times New Roman" w:hAnsi="Times New Roman"/>
          <w:b/>
          <w:sz w:val="24"/>
        </w:rPr>
      </w:pPr>
      <w:r>
        <w:rPr>
          <w:rStyle w:val="17"/>
          <w:rFonts w:ascii="Times New Roman" w:hAnsi="Times New Roman"/>
          <w:b/>
          <w:sz w:val="24"/>
        </w:rPr>
        <w:t>5. ПЕРЕЧЕНЬ ИСПОЛЬЗУЕМЫХ МЕТОДОВ ОБУЧЕНИЯ</w:t>
      </w:r>
    </w:p>
    <w:p w:rsidR="00915769" w:rsidRDefault="0091576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7"/>
          <w:rFonts w:ascii="Times New Roman" w:hAnsi="Times New Roman"/>
          <w:b/>
          <w:sz w:val="24"/>
        </w:rP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7"/>
          <w:rFonts w:ascii="Times New Roman" w:hAnsi="Times New Roman"/>
          <w:sz w:val="24"/>
        </w:rPr>
      </w:pPr>
      <w:r>
        <w:rPr>
          <w:rStyle w:val="17"/>
          <w:rFonts w:ascii="Times New Roman" w:hAnsi="Times New Roman"/>
          <w:sz w:val="24"/>
        </w:rPr>
        <w:t xml:space="preserve">5.1 Пассивные: лекция-монолог, чтение, демонстрация и опрос обучающихся </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sz w:val="24"/>
        </w:rPr>
      </w:pPr>
      <w:r>
        <w:rPr>
          <w:rStyle w:val="17"/>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b/>
          <w:sz w:val="24"/>
        </w:rPr>
      </w:pPr>
      <w:r>
        <w:rPr>
          <w:rStyle w:val="17"/>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2"/>
        <w:spacing w:after="0" w:line="240" w:lineRule="auto"/>
        <w:jc w:val="center"/>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79A" w:rsidRDefault="00BF479A">
      <w:pPr>
        <w:spacing w:after="0" w:line="240" w:lineRule="auto"/>
        <w:rPr>
          <w:sz w:val="20"/>
          <w:szCs w:val="20"/>
        </w:rPr>
      </w:pPr>
      <w:r>
        <w:separator/>
      </w:r>
    </w:p>
  </w:endnote>
  <w:endnote w:type="continuationSeparator" w:id="1">
    <w:p w:rsidR="00BF479A" w:rsidRDefault="00BF479A">
      <w:pPr>
        <w:spacing w:after="0" w:line="240" w:lineRule="auto"/>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787"/>
      <w:docPartObj>
        <w:docPartGallery w:val="Page Numbers (Bottom of Page)"/>
        <w:docPartUnique/>
      </w:docPartObj>
    </w:sdtPr>
    <w:sdtContent>
      <w:p w:rsidR="00B809B0" w:rsidRDefault="00C40078">
        <w:pPr>
          <w:pStyle w:val="af5"/>
          <w:jc w:val="right"/>
        </w:pPr>
        <w:fldSimple w:instr="PAGE   \* MERGEFORMAT">
          <w:r w:rsidR="004E772C">
            <w:rPr>
              <w:noProof/>
            </w:rPr>
            <w:t>2</w:t>
          </w:r>
        </w:fldSimple>
      </w:p>
    </w:sdtContent>
  </w:sdt>
  <w:p w:rsidR="00B809B0" w:rsidRDefault="00B809B0">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B0" w:rsidRDefault="00B809B0">
    <w:pPr>
      <w:pStyle w:val="af5"/>
      <w:jc w:val="right"/>
    </w:pPr>
  </w:p>
  <w:p w:rsidR="00B809B0" w:rsidRDefault="00B809B0">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3272"/>
      <w:docPartObj>
        <w:docPartGallery w:val="Page Numbers (Bottom of Page)"/>
        <w:docPartUnique/>
      </w:docPartObj>
    </w:sdtPr>
    <w:sdtContent>
      <w:p w:rsidR="00B809B0" w:rsidRDefault="00C40078">
        <w:pPr>
          <w:pStyle w:val="af5"/>
          <w:jc w:val="right"/>
        </w:pPr>
        <w:fldSimple w:instr="PAGE   \* MERGEFORMAT">
          <w:r w:rsidR="004E772C">
            <w:rPr>
              <w:noProof/>
            </w:rPr>
            <w:t>55</w:t>
          </w:r>
        </w:fldSimple>
      </w:p>
    </w:sdtContent>
  </w:sdt>
  <w:p w:rsidR="00B809B0" w:rsidRDefault="00B809B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79A" w:rsidRDefault="00BF479A">
      <w:pPr>
        <w:spacing w:after="0" w:line="240" w:lineRule="auto"/>
        <w:rPr>
          <w:sz w:val="20"/>
          <w:szCs w:val="20"/>
        </w:rPr>
      </w:pPr>
      <w:r>
        <w:separator/>
      </w:r>
    </w:p>
  </w:footnote>
  <w:footnote w:type="continuationSeparator" w:id="1">
    <w:p w:rsidR="00BF479A" w:rsidRDefault="00BF479A">
      <w:pPr>
        <w:spacing w:after="0" w:line="240" w:lineRule="auto"/>
        <w:rPr>
          <w:sz w:val="20"/>
          <w:szCs w:val="20"/>
        </w:rPr>
      </w:pPr>
      <w:r>
        <w:continuationSeparator/>
      </w:r>
    </w:p>
  </w:footnote>
  <w:footnote w:id="2">
    <w:p w:rsidR="00B809B0" w:rsidRPr="004F71AC" w:rsidRDefault="00B809B0"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B809B0" w:rsidRDefault="00B809B0" w:rsidP="00225026">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15769"/>
    <w:rsid w:val="00017B82"/>
    <w:rsid w:val="000B22C5"/>
    <w:rsid w:val="00112F2D"/>
    <w:rsid w:val="001300D0"/>
    <w:rsid w:val="0013043E"/>
    <w:rsid w:val="00137C4D"/>
    <w:rsid w:val="001535D5"/>
    <w:rsid w:val="0019416A"/>
    <w:rsid w:val="001D3AA0"/>
    <w:rsid w:val="001F53A5"/>
    <w:rsid w:val="002100C4"/>
    <w:rsid w:val="00225026"/>
    <w:rsid w:val="002426D0"/>
    <w:rsid w:val="00274422"/>
    <w:rsid w:val="00285DD0"/>
    <w:rsid w:val="002A7539"/>
    <w:rsid w:val="002E37B5"/>
    <w:rsid w:val="00335D2A"/>
    <w:rsid w:val="00346303"/>
    <w:rsid w:val="003731F6"/>
    <w:rsid w:val="00381416"/>
    <w:rsid w:val="003B011C"/>
    <w:rsid w:val="003D52D7"/>
    <w:rsid w:val="004954D1"/>
    <w:rsid w:val="004C7598"/>
    <w:rsid w:val="004E772C"/>
    <w:rsid w:val="00504AF0"/>
    <w:rsid w:val="00512397"/>
    <w:rsid w:val="00535EF6"/>
    <w:rsid w:val="00577E3C"/>
    <w:rsid w:val="00591232"/>
    <w:rsid w:val="005E73C1"/>
    <w:rsid w:val="00600D75"/>
    <w:rsid w:val="00615AEA"/>
    <w:rsid w:val="0063045F"/>
    <w:rsid w:val="0066253B"/>
    <w:rsid w:val="00692132"/>
    <w:rsid w:val="006A4237"/>
    <w:rsid w:val="00703394"/>
    <w:rsid w:val="00742C2B"/>
    <w:rsid w:val="0076710E"/>
    <w:rsid w:val="007B5065"/>
    <w:rsid w:val="00816077"/>
    <w:rsid w:val="00852370"/>
    <w:rsid w:val="008661B1"/>
    <w:rsid w:val="00895C47"/>
    <w:rsid w:val="008C6DA2"/>
    <w:rsid w:val="008F4CFA"/>
    <w:rsid w:val="00915769"/>
    <w:rsid w:val="00931CF1"/>
    <w:rsid w:val="009655D3"/>
    <w:rsid w:val="00976E7B"/>
    <w:rsid w:val="00992092"/>
    <w:rsid w:val="00996C0D"/>
    <w:rsid w:val="009D500A"/>
    <w:rsid w:val="009E0C0B"/>
    <w:rsid w:val="00A138B8"/>
    <w:rsid w:val="00A14F32"/>
    <w:rsid w:val="00A15019"/>
    <w:rsid w:val="00A55D49"/>
    <w:rsid w:val="00A753A9"/>
    <w:rsid w:val="00A91388"/>
    <w:rsid w:val="00A97347"/>
    <w:rsid w:val="00AA4FB5"/>
    <w:rsid w:val="00AE3AB6"/>
    <w:rsid w:val="00B30557"/>
    <w:rsid w:val="00B8051A"/>
    <w:rsid w:val="00B809B0"/>
    <w:rsid w:val="00B80DD0"/>
    <w:rsid w:val="00B82F48"/>
    <w:rsid w:val="00BF479A"/>
    <w:rsid w:val="00C40078"/>
    <w:rsid w:val="00C82872"/>
    <w:rsid w:val="00CB6C0C"/>
    <w:rsid w:val="00CC48EB"/>
    <w:rsid w:val="00CF4089"/>
    <w:rsid w:val="00D01CEC"/>
    <w:rsid w:val="00D326CC"/>
    <w:rsid w:val="00D472D0"/>
    <w:rsid w:val="00D66222"/>
    <w:rsid w:val="00D85080"/>
    <w:rsid w:val="00D917F4"/>
    <w:rsid w:val="00DC0941"/>
    <w:rsid w:val="00E31253"/>
    <w:rsid w:val="00E33811"/>
    <w:rsid w:val="00E33BBB"/>
    <w:rsid w:val="00ED20B4"/>
    <w:rsid w:val="00ED370A"/>
    <w:rsid w:val="00EE658C"/>
    <w:rsid w:val="00F127B2"/>
    <w:rsid w:val="00F40583"/>
    <w:rsid w:val="00FD7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9209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209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9209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9209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9209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9209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9209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1">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1">
    <w:name w:val="toc 3"/>
    <w:basedOn w:val="a"/>
    <w:next w:val="a"/>
    <w:uiPriority w:val="39"/>
    <w:unhideWhenUsed/>
    <w:rsid w:val="00992092"/>
    <w:pPr>
      <w:spacing w:after="57"/>
      <w:ind w:left="567"/>
    </w:pPr>
  </w:style>
  <w:style w:type="paragraph" w:styleId="41">
    <w:name w:val="toc 4"/>
    <w:basedOn w:val="a"/>
    <w:next w:val="a"/>
    <w:uiPriority w:val="39"/>
    <w:unhideWhenUsed/>
    <w:rsid w:val="00992092"/>
    <w:pPr>
      <w:spacing w:after="57"/>
      <w:ind w:left="850"/>
    </w:pPr>
  </w:style>
  <w:style w:type="paragraph" w:styleId="51">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2">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2"/>
    <w:link w:val="13"/>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3">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2"/>
    <w:link w:val="14"/>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4">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2"/>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2"/>
    <w:link w:val="15"/>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5">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6">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7">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E732-5477-48FC-9139-0D7B2EF3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16523</Words>
  <Characters>94184</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24</cp:revision>
  <dcterms:created xsi:type="dcterms:W3CDTF">2025-04-03T11:25:00Z</dcterms:created>
  <dcterms:modified xsi:type="dcterms:W3CDTF">2026-06-26T10:02:00Z</dcterms:modified>
</cp:coreProperties>
</file>