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Я ПРОГРАММА</w:t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ind w:left="-567"/>
        <w:rPr>
          <w:rFonts w:ascii="Times New Roman" w:hAnsi="Times New Roman" w:eastAsia="Times New Roman" w:cs="Times New Roman"/>
          <w:b/>
          <w:sz w:val="44"/>
          <w:szCs w:val="4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УЧЕБНОЙ ДИСЦИПЛИНЫ</w:t>
      </w:r>
      <w:r>
        <w:rPr>
          <w:rFonts w:ascii="Times New Roman" w:hAnsi="Times New Roman" w:eastAsia="Times New Roman" w:cs="Times New Roman"/>
          <w:b/>
          <w:sz w:val="44"/>
          <w:szCs w:val="44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44"/>
          <w:szCs w:val="44"/>
        </w:rPr>
      </w:pPr>
      <w:r>
        <w:rPr>
          <w:rFonts w:ascii="Times New Roman" w:hAnsi="Times New Roman" w:eastAsia="Times New Roman" w:cs="Times New Roman"/>
          <w:b/>
          <w:sz w:val="44"/>
          <w:szCs w:val="44"/>
        </w:rPr>
        <w:t xml:space="preserve">СГ.02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 xml:space="preserve">  Иностранный язык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 xml:space="preserve"> в профессиональной деятельности</w:t>
      </w:r>
      <w:r>
        <w:rPr>
          <w:rFonts w:ascii="Times New Roman" w:hAnsi="Times New Roman" w:eastAsia="Times New Roman" w:cs="Times New Roman"/>
          <w:b/>
          <w:sz w:val="44"/>
          <w:szCs w:val="44"/>
        </w:rPr>
      </w:r>
    </w:p>
    <w:p>
      <w:pPr>
        <w:ind w:left="-567"/>
        <w:jc w:val="center"/>
        <w:spacing w:after="0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  <w:t xml:space="preserve">для  специальности</w:t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9643" w:leader="underscore"/>
        </w:tabs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9643" w:leader="underscore"/>
        </w:tabs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9643" w:leader="underscore"/>
        </w:tabs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23.02.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  Строительство железных дорог, путь и путевое хозяйство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i/>
          <w:sz w:val="32"/>
          <w:szCs w:val="44"/>
        </w:rPr>
      </w:pPr>
      <w:r>
        <w:rPr>
          <w:rFonts w:ascii="Times New Roman" w:hAnsi="Times New Roman" w:eastAsia="Times New Roman"/>
          <w:i/>
          <w:sz w:val="32"/>
          <w:szCs w:val="44"/>
        </w:rPr>
        <w:t xml:space="preserve">Базовая подготовка среднего профессионального образования</w:t>
      </w:r>
      <w:r>
        <w:rPr>
          <w:rFonts w:ascii="Times New Roman" w:hAnsi="Times New Roman" w:eastAsia="Times New Roman"/>
          <w:i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Стр.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tbl>
      <w:tblPr>
        <w:tblStyle w:val="753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80"/>
      </w:tblGrid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r>
            <w:r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r>
          </w:p>
        </w:tc>
      </w:tr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1.ПАСПОРТ  РАБОЧЕЙ ПРОГРАММЫ УЧЕБНОЙ ДИСЦИПЛИНЫ……………………………………………………… 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3-5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</w:tc>
      </w:tr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2.СТРУКТУРА И СОДЕРЖАНИЕ УЧЕБНОЙ ДИСЦИПЛИНЫ …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6- 11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</w:tc>
      </w:tr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3.УСЛОВИЯ РЕАЛИЗАЦИИ ПРОГРАММЫ УЧЕБНОЙ ДИСЦИПЛИНЫ………………………………………………………..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12-1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4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</w:tc>
      </w:tr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4.КОНТРОЛЬ И ОЦЕНКА РЕЗУЛЬТАТОВ ОСВОЕНИЯ УЧЕБНОЙ ДИСЦИПЛИНЫ……………………………………………………....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1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5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-1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6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5.ПЕРЕЧЕНЬ ИСПОЛЬЗУЕМЫХ  МЕТОДОВ ОБУЧЕНИЯ………. 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17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-567" w:right="284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1. 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ПАСПОРТ РАБОЧЕЙ ПРОГРАММЫ УЧЕБНОЙ ДИСЦИПЛИНЫ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 .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1.1. Область применения рабочей программы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и с ФГОС по специальности СПО 23.02.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Строительство железных дорог, путь и путевое хозяйство.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1.2. Место учебной дисциплины в структуре ППССЗ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: Учебная дисциплина «Иностранный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язык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в профессиональной  деятельности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» относится к циклу</w:t>
      </w:r>
      <w:r>
        <w:rPr>
          <w:rFonts w:ascii="Times New Roman" w:hAnsi="Times New Roman" w:eastAsia="Times New Roman" w:cs="Times New Roman"/>
          <w:color w:val="ffffff"/>
          <w:sz w:val="28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бщий гуманитарный и социально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–э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кономический учебный цикл».</w:t>
      </w:r>
      <w:r>
        <w:rPr>
          <w:rFonts w:ascii="Times New Roman" w:hAnsi="Times New Roman" w:eastAsia="Times New Roman" w:cs="Times New Roman"/>
          <w:color w:val="ffffff"/>
          <w:sz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i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1.3. Цели и задачи учебной дисциплины – требования к результатам освоения учебной дисциплины: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уметь: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У1.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троить простые высказывания о себе и о свое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й профессиональной деятельности.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У2.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заимодействовать в коллективе, принимать участие в диалогах н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а общие и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У3.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рименять различные формы и виды устной и письменной коммуникации на иностранном языке при межличностном, межкультурном и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профессиональном взаимодействии.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У4.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онимать общий смысл четко произнесенных высказываний на общие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и базовые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У5.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онимать тексты на базовы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е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У6.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оставлять простые связные сообщения на 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бщие или 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У7.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бщаться (устно и письменно) на иностранном языке на профессиональные и повседневные темы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У8.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ереводить иностранные тексты профессиональной направленности (со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словарем)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У9.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амостоятельно совершенствовать устную и письменную речь, пополнять словарный запас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знать: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З1.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ексический и грамматический минимум, относящийся к описанию предметов, средств и процессо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в профессиональной деятельности.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ексический и грамматический минимум, необходимый для чтения и перевода текстов профессиональн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ой направленности (со словарем).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З3.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бщеупотребительные глаголы (об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щая и профессиональная лексика).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З4.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равила чтения текстов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профессиональной направленности.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З5.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равила построения простых и сложных предл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ожений на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З6.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равила речевого этикета и социокультурные нор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мы общения на иностранном языке.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З7.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ормы и виды устной и письменной коммуникации на иностранном языке при межличностном, межкультурном и профессиональном взаимодействии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сформировать следующие компетенции: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- общие: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ОК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Использовать современные средства поиска, анал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иза и интерпретации информации  и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нформационные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ab/>
        <w:t xml:space="preserve">технологии для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выполнения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ab/>
        <w:t xml:space="preserve">задач профессиональной деятельности;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ОК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Эффективно взаимодействовать и работать в коллективе и команде;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ОК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ОК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 0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. Пользоваться профессиональной документацией на государственном и иностранном языках.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профессиональные: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ПК 2.2.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Разрабатывать технологические процессы производства ремонтных работ железнодорожного пути и сооружений.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</w:t>
      </w:r>
      <w:r>
        <w:rPr>
          <w:rFonts w:ascii="Times New Roman" w:hAnsi="Times New Roman"/>
          <w:b/>
          <w:sz w:val="28"/>
          <w:szCs w:val="28"/>
        </w:rPr>
        <w:t xml:space="preserve">дескриптеров</w:t>
      </w:r>
      <w:r>
        <w:rPr>
          <w:rFonts w:ascii="Times New Roman" w:hAnsi="Times New Roman"/>
          <w:sz w:val="24"/>
          <w:szCs w:val="24"/>
        </w:rPr>
        <w:t xml:space="preserve">):</w:t>
      </w:r>
      <w:r>
        <w:rPr>
          <w:rFonts w:ascii="Times New Roman" w:hAnsi="Times New Roman"/>
          <w:sz w:val="24"/>
          <w:szCs w:val="24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8:</w:t>
      </w:r>
      <w:r>
        <w:rPr>
          <w:rFonts w:ascii="Times New Roman" w:hAnsi="Times New Roman" w:eastAsia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11:</w:t>
      </w:r>
      <w:r>
        <w:rPr>
          <w:rFonts w:ascii="Times New Roman" w:hAnsi="Times New Roman" w:eastAsia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13: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Готовность обучающегося соответствовать ожиданиям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работодателей: ответственный сотрудник,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дисциплинированный, трудолюбивый, нацеленный на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достижение поставленных задач, эффективно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взаимодействующий с членами команды, сотрудничающий с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другими людьми, </w:t>
      </w:r>
      <w:r>
        <w:rPr>
          <w:rFonts w:ascii="Times New Roman" w:hAnsi="Times New Roman" w:eastAsia="Times New Roman"/>
          <w:sz w:val="28"/>
          <w:szCs w:val="28"/>
        </w:rPr>
        <w:t xml:space="preserve">проектно</w:t>
      </w:r>
      <w:r>
        <w:rPr>
          <w:rFonts w:ascii="Times New Roman" w:hAnsi="Times New Roman" w:eastAsia="Times New Roman"/>
          <w:sz w:val="28"/>
          <w:szCs w:val="28"/>
        </w:rPr>
        <w:t xml:space="preserve"> мыслящий.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17:</w:t>
      </w:r>
      <w:r>
        <w:rPr>
          <w:rFonts w:ascii="Times New Roman" w:hAnsi="Times New Roman" w:eastAsia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18:</w:t>
      </w:r>
      <w:r>
        <w:rPr>
          <w:rFonts w:ascii="Times New Roman" w:hAnsi="Times New Roman" w:eastAsia="Times New Roman"/>
          <w:sz w:val="28"/>
          <w:szCs w:val="28"/>
        </w:rPr>
        <w:t xml:space="preserve">  Ценностное отношение </w:t>
      </w:r>
      <w:r>
        <w:rPr>
          <w:rFonts w:ascii="Times New Roman" w:hAnsi="Times New Roman" w:eastAsia="Times New Roman"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/>
          <w:sz w:val="28"/>
          <w:szCs w:val="28"/>
        </w:rPr>
        <w:t xml:space="preserve"> к людям иной национальности, веры, культуры; уважительного отношения к их взглядам.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24:</w:t>
      </w:r>
      <w:r>
        <w:rPr>
          <w:rFonts w:ascii="Times New Roman" w:hAnsi="Times New Roman" w:eastAsia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1.4. Количество часов на освоение рабочей программы учебной дисциплины в соответствии с учебным планом (УП):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максимальной у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чебной нагрузки обучающегося 158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часов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, в том числе; обязательной аудиторной у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чебной нагрузки обучающегося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144 часа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; самост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оятельной работы обучающегося 14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часов.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sz w:val="28"/>
          <w:szCs w:val="28"/>
        </w:rPr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426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077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1077"/>
        <w:spacing w:after="0" w:line="256" w:lineRule="auto"/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 2.1. Объем учебной дисциплины и виды учебной работы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tbl>
      <w:tblPr>
        <w:tblW w:w="10184" w:type="dxa"/>
        <w:tblInd w:w="-841" w:type="dxa"/>
        <w:tblCellMar>
          <w:left w:w="104" w:type="dxa"/>
          <w:top w:w="11" w:type="dxa"/>
          <w:right w:w="40" w:type="dxa"/>
        </w:tblCellMar>
        <w:tblLook w:val="04A0" w:firstRow="1" w:lastRow="0" w:firstColumn="1" w:lastColumn="0" w:noHBand="0" w:noVBand="1"/>
      </w:tblPr>
      <w:tblGrid>
        <w:gridCol w:w="8057"/>
        <w:gridCol w:w="2127"/>
      </w:tblGrid>
      <w:tr>
        <w:tblPrEx/>
        <w:trPr>
          <w:trHeight w:val="47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ind w:right="68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Вид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учебной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Объем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Максимальная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учебная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нагрузка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</w:tr>
      <w:tr>
        <w:tblPrEx/>
        <w:trPr>
          <w:trHeight w:val="33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Обязательная аудиторная учебная нагрузка (всего)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6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занятия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33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    курсовая работа (проект)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eastAsia="en-US"/>
              </w:rPr>
              <w:t xml:space="preserve">если предусмотрено)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</w:tr>
      <w:tr>
        <w:tblPrEx/>
        <w:trPr>
          <w:trHeight w:val="33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    лекций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Самостоятельная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работа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обучающегося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706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4" w:type="dxa"/>
            <w:textDirection w:val="lrTb"/>
            <w:noWrap w:val="false"/>
          </w:tcPr>
          <w:p>
            <w:pPr>
              <w:ind w:left="12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Итоговая промежуточная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аттестация в фор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ме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контрольной работы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3,5 семестрах;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зачёта с оценкой 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 семестрах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</w:tr>
    </w:tbl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spacing w:after="0" w:line="259" w:lineRule="auto"/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en-US"/>
        </w:rPr>
        <w:t xml:space="preserve">2.2. Тематический план и содержание учебной дисциплины «Иностранный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en-US"/>
        </w:rPr>
        <w:t xml:space="preserve">(английский)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en-US"/>
        </w:rPr>
        <w:t xml:space="preserve"> язык» 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55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0489"/>
        <w:gridCol w:w="1134"/>
        <w:gridCol w:w="1985"/>
      </w:tblGrid>
      <w:tr>
        <w:tblPrEx/>
        <w:trPr>
          <w:trHeight w:val="20"/>
        </w:trPr>
        <w:tc>
          <w:tcPr>
            <w:shd w:val="clear" w:color="auto" w:fill="auto"/>
            <w:tcW w:w="1957" w:type="dxa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right="43"/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материала, самостоятельная работа обучающихся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Объем часов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Коды компетенций, формированию которых способствует элемент программы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244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Раздел 1.Актуальные проблемы страноведения, культуры и образа жизни людей в современном мире.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1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     62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66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устройство, правовые институты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329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Соединенное Королевство Великобритании и Северной Ирландии. США. Государственное устройство США.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Россия. Географическое положение нашей страны.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Состояние современной экономики.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Мировая экономика в России и за рубежом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ourier New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Россия и сотрудничество с другими государствами.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намерения  в будущем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Система времен действительного залога в английском языке.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 утвердительные, вопросительные, отрицательные, побудительные и порядок слов в них; безличные предложения.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Исчисляемые и неисчисляемые существительные.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Артикль. Употребление артикля с именами собственными.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Модальные глаголы, их эквиваленты.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99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Культура, достопримечательности и обычаи страны изучаемого языка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и развлечения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60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Театр. Эмфатические предложения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и американская литература.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ворчество представителей мира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стран изучаемого языка.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предложения реального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Conditional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Искусство в нашей жизни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22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Культурные  и национальные традиции, краеведение, обычаи и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695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Важнейшие праздники в США.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национальные праздники.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еопределённые местоимения, производные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мена прилагательные в положительной,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и превосходной степенях.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конструкциями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52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Национальные праздники и фестивали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Природа и человек (климат, погода, экология)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245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климата. Особенности погоды в Англии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защита окружающей среды.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решения экологических проблем в современном мире.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согласования времён и косвенная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Проблемы экологии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России и за рубежом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Последствия влияния загрязнения окружающей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среды на развитие человека.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80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Здоровье, спорт, правила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665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в нашей жизни. Моя семья и 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телевизора и компьютера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здоровье.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Здоровое питание.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и спорт. Их роль в жизни современного человека.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333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Готов к труду и обороне. История. Нормативы. Знак ГТО.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Основы здорового образа жизни студента.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Новости, средства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306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tabs>
                <w:tab w:val="left" w:pos="-284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Style w:val="751"/>
                <w:rFonts w:eastAsia="Segoe UI"/>
                <w:b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  <w:t xml:space="preserve">Пресса в Британии, Китае и США</w:t>
            </w: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  <w:t xml:space="preserve">Телевидение: преимущества и недостатки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hi-IN" w:bidi="hi-IN"/>
              </w:rPr>
              <w:t xml:space="preserve">.</w:t>
            </w: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Style w:val="751"/>
                <w:rFonts w:eastAsia="Segoe UI"/>
                <w:b w:val="0"/>
                <w:sz w:val="24"/>
                <w:szCs w:val="24"/>
                <w:highlight w:val="none"/>
              </w:rPr>
              <w:t xml:space="preserve">Роль СМИ в формировании общественного мнения.</w:t>
            </w:r>
            <w:r>
              <w:rPr>
                <w:rStyle w:val="751"/>
                <w:rFonts w:eastAsia="Segoe UI"/>
                <w:b w:val="0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06"/>
        </w:trPr>
        <w:tc>
          <w:tcPr>
            <w:gridSpan w:val="2"/>
            <w:shd w:val="clear" w:color="auto" w:fill="auto"/>
            <w:tcW w:w="124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hi-IN" w:bidi="hi-IN"/>
              </w:rPr>
              <w:t xml:space="preserve">Раздел 2.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Роль иностранного языка в профессиональной деятельности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r>
          </w:p>
        </w:tc>
        <w:tc>
          <w:tcPr>
            <w:gridSpan w:val="2"/>
            <w:shd w:val="clear" w:color="auto" w:fill="auto"/>
            <w:tcW w:w="3119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Роль образования в современном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306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Система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бразования России.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Образование в современном мире: Китай, США, Европа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Образование в России для иностранных студентов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Сравнение среднего профессионального образования в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, Великобритании, США и Китае.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Образование в современном мире: Китай, США, Европа.</w:t>
            </w: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материал: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Образование и употребление глаголов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Present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Past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Future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Simple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Имя существительное во множественном числе, образованные по правилу, а также исключения.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Притяжательный падеж имени существительного.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Согласование времен. Косвенная речь.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Личные местоимения.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Притяжательные местоимения.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Вопросительные местоимения.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Относительные местоимения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5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Тема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Значение иностранного языка в освоении профессии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44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5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География английского языка.</w:t>
            </w: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Английский язык в современном мире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Английский язык в профессиональной деятельности.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Я и моя профессия</w:t>
            </w: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Современный мир профессий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Грамматический материал:</w:t>
            </w: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Словообразование: наречия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Степени ср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авнения наречий.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4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5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Тема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Основы делового общения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ЛР18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23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Составление деловых писем, докладных записок, заявлений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Правила оформления и написания деловых писем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Деловой разговоров по телефону, электронное письмо.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Работа по развитию навыков деловой переписки. «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The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letter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application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The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letter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of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introduction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Обсуждение  профессиональных качеств, необходимых для успешного карьерного роста.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Грамматический материал: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Признаки инфинитива и инфинитивных оборотов и способы передачи их значений на родном языке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eastAsia="Times New Roman" w:cs="Times New Roman"/>
                <w:color w:val="000000" w:themeColor="text1"/>
                <w:sz w:val="23"/>
                <w:szCs w:val="23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Неопределенные и отрицательные местоимения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32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Тема 2.4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Рынок труда, трудоустройство и карьера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трудоустройства в области выбранной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ессии. Профессия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карьера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Моя будущая специальность, профессиональные качества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Поиск работы.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Составление резюме. Написание сопроводительного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письма.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spacing w:after="0" w:line="240" w:lineRule="auto"/>
              <w:widowControl w:val="o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Грамматический материал: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- С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традательный залог простого будущего времени,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страдательный залог настоящего совершенного времени.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51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Раздел 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 Научно-технический прогресс: открытия, которые потрясли мир</w:t>
            </w: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hi-IN" w:bidi="hi-IN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3.1.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Достижения и инновации в науке и технике и их изобретатели. Отраслевые выставки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Достижения и инновации в науке и технике. Открытия XXI века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Отраслевая выставка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Посещение отраслевой выставки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Достижение в области науки и техники, изменившее мою жизнь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компьютеров в современной жизни. Всемирная глобальная сеть.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46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 Чемпионатное движение. Государственная итоговая аттестация в форме демонстрационного экзамена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Чемпионаты России по профессиональному мастерству. Демонстрационный экзамен.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749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rFonts w:eastAsia="Calibri"/>
                <w:b/>
                <w:bCs/>
              </w:rPr>
              <w:t xml:space="preserve">Содержание учебного материала:</w:t>
            </w:r>
            <w:r>
              <w:rPr>
                <w:color w:val="00000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749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 xml:space="preserve">История чемпионатов.</w:t>
            </w:r>
            <w:r>
              <w:rPr>
                <w:color w:val="00000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Cs w:val="20"/>
                <w:lang w:eastAsia="ru-RU"/>
              </w:rPr>
              <w:t xml:space="preserve">Чемпионаты России по профессиональному мастерству.</w:t>
            </w:r>
            <w:r>
              <w:rPr>
                <w:color w:val="000000"/>
                <w:szCs w:val="20"/>
                <w:lang w:eastAsia="ru-RU"/>
              </w:rPr>
              <w:t xml:space="preserve"> Описание зад</w:t>
            </w:r>
            <w:r>
              <w:rPr>
                <w:color w:val="000000"/>
                <w:szCs w:val="20"/>
                <w:lang w:eastAsia="ru-RU"/>
              </w:rPr>
              <w:t xml:space="preserve">ания Демонстрационного экзамена</w:t>
            </w:r>
            <w:r>
              <w:rPr>
                <w:color w:val="000000"/>
                <w:szCs w:val="20"/>
                <w:lang w:eastAsia="ru-RU"/>
              </w:rPr>
              <w:t xml:space="preserve">. Составление диалогов по заданным ситуациям</w:t>
            </w:r>
            <w:r>
              <w:rPr>
                <w:color w:val="000000"/>
                <w:szCs w:val="20"/>
                <w:lang w:eastAsia="ru-RU"/>
              </w:rPr>
            </w:r>
          </w:p>
          <w:p>
            <w:pPr>
              <w:pStyle w:val="749"/>
              <w:ind w:left="0" w:firstLine="0"/>
              <w:rPr>
                <w:b/>
              </w:rPr>
            </w:pPr>
            <w:r>
              <w:rPr>
                <w:b/>
              </w:rPr>
              <w:t xml:space="preserve">Грамматический материл:</w:t>
            </w:r>
            <w:r>
              <w:rPr>
                <w:b/>
              </w:rPr>
            </w:r>
          </w:p>
          <w:p>
            <w:pPr>
              <w:pStyle w:val="749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b/>
              </w:rPr>
              <w:t xml:space="preserve">-  </w:t>
            </w:r>
            <w:r>
              <w:rPr>
                <w:color w:val="000000"/>
                <w:szCs w:val="20"/>
                <w:lang w:eastAsia="ru-RU"/>
              </w:rPr>
              <w:t xml:space="preserve">Придаточные предложения условия </w:t>
            </w:r>
            <w:r>
              <w:rPr>
                <w:color w:val="000000"/>
                <w:szCs w:val="20"/>
                <w:lang w:eastAsia="ru-RU"/>
              </w:rPr>
              <w:t xml:space="preserve">1,2,3 типа</w:t>
            </w:r>
            <w:r>
              <w:rPr>
                <w:color w:val="000000"/>
                <w:szCs w:val="20"/>
                <w:lang w:eastAsia="ru-RU"/>
              </w:rPr>
              <w:t xml:space="preserve">.</w:t>
            </w:r>
            <w:r>
              <w:rPr>
                <w:color w:val="00000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gridSpan w:val="2"/>
            <w:shd w:val="clear" w:color="auto" w:fill="auto"/>
            <w:tcW w:w="12446" w:type="dxa"/>
            <w:textDirection w:val="lrTb"/>
            <w:noWrap w:val="false"/>
          </w:tcPr>
          <w:p>
            <w:pPr>
              <w:pStyle w:val="749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b/>
                <w:color w:val="000000"/>
                <w:szCs w:val="20"/>
                <w:lang w:eastAsia="ru-RU"/>
              </w:rPr>
              <w:t xml:space="preserve">Раздел 5</w:t>
            </w:r>
            <w:r>
              <w:rPr>
                <w:b/>
                <w:color w:val="000000"/>
                <w:szCs w:val="20"/>
                <w:lang w:eastAsia="ru-RU"/>
              </w:rPr>
              <w:t xml:space="preserve">. Профессиональное содержание</w:t>
            </w:r>
            <w:r>
              <w:rPr>
                <w:color w:val="00000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31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Профессиональное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текста по теме «Техническое бюро». Инструменты, оборудование, станки.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Профессиональный рост и самосовершенствование в профессиональной деятельности.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Из истории строительства железной дороги России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Высказывания по теме «Из истории железных дорог в Англии».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Техника безопасности и охрана труда. Техника безопасности на производстве. Безопасность превыше всего. Стандарты в производстве. Проблемы на производстве. Возможные нестандартные профессиональные ситуации и пути их решения. Обоснов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ание несоответствия рабочего места требованиям охраны труда и поиск выхода из ситуации в условиях дефицита языковых средств. Профессиональный рост и самосовершенствование в профессиональной деятельности. Если я буду участвовать во всероссийском  чемпионате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История создания железных дорог. Устное высказывание с опорой на текст.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«Главные элементы пути»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«Железнодорожный транспорт будущего» .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«Железнодорожный транспорт в России и за рубежом».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Необычные железные дороги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tabs>
                <w:tab w:val="left" w:pos="-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ачёт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оценкой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tabs>
                <w:tab w:val="left" w:pos="-284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158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</w:tr>
    </w:tbl>
    <w:p>
      <w:pPr>
        <w:rPr>
          <w:b/>
          <w:color w:val="ff0000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</w:sect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pStyle w:val="740"/>
        <w:numPr>
          <w:ilvl w:val="0"/>
          <w:numId w:val="7"/>
        </w:numPr>
        <w:jc w:val="center"/>
        <w:spacing w:after="0"/>
        <w:tabs>
          <w:tab w:val="left" w:pos="-28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РЕАЛИЗАЦИИ ПРОГРАММЫ ДИСЦИПЛИНЫ «Иностранный язык</w:t>
      </w:r>
      <w:r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284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3.1.Требования к минимальному материально-техническому обеспечению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284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в учебном кабинете Иностранный (английский) язык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№ 404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284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рабочее место преподавателя.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851" w:firstLine="284"/>
        <w:jc w:val="center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Основные электронные издания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1.Радовель, В. А., Английский язык для технических вузов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r>
        <w:rPr>
          <w:rFonts w:ascii="Times New Roman" w:hAnsi="Times New Roman" w:cs="Times New Roman"/>
          <w:sz w:val="28"/>
          <w:szCs w:val="28"/>
        </w:rPr>
        <w:t xml:space="preserve">Радовель</w:t>
      </w:r>
      <w:r>
        <w:rPr>
          <w:rFonts w:ascii="Times New Roman" w:hAnsi="Times New Roman" w:cs="Times New Roman"/>
          <w:sz w:val="28"/>
          <w:szCs w:val="28"/>
        </w:rPr>
        <w:t xml:space="preserve">. —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КноРус</w:t>
      </w:r>
      <w:r>
        <w:rPr>
          <w:rFonts w:ascii="Times New Roman" w:hAnsi="Times New Roman" w:cs="Times New Roman"/>
          <w:sz w:val="28"/>
          <w:szCs w:val="28"/>
        </w:rPr>
        <w:t xml:space="preserve">, 2024. — 296 с. — ISBN 978-5-406-12945-6. — URL: </w:t>
      </w:r>
      <w:hyperlink r:id="rId13" w:tooltip="https://book.ru/book/953131/" w:history="1">
        <w:r>
          <w:rPr>
            <w:rStyle w:val="743"/>
            <w:rFonts w:ascii="Times New Roman" w:hAnsi="Times New Roman" w:cs="Times New Roman"/>
            <w:sz w:val="28"/>
            <w:szCs w:val="28"/>
          </w:rPr>
          <w:t xml:space="preserve">https://book.ru/book/953131/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Волегжанина</w:t>
      </w:r>
      <w:r>
        <w:rPr>
          <w:rFonts w:ascii="Times New Roman" w:hAnsi="Times New Roman" w:cs="Times New Roman"/>
          <w:sz w:val="28"/>
          <w:szCs w:val="28"/>
        </w:rPr>
        <w:t xml:space="preserve">, И. С. Английский язык для инженеров железнодорожного транспорта: подвижной состав и управление процессами перевозок = </w:t>
      </w:r>
      <w:r>
        <w:rPr>
          <w:rFonts w:ascii="Times New Roman" w:hAnsi="Times New Roman" w:cs="Times New Roman"/>
          <w:sz w:val="28"/>
          <w:szCs w:val="28"/>
        </w:rPr>
        <w:t xml:space="preserve">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railway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engineers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rolling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stock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traffic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management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И. С. </w:t>
      </w:r>
      <w:r>
        <w:rPr>
          <w:rFonts w:ascii="Times New Roman" w:hAnsi="Times New Roman" w:cs="Times New Roman"/>
          <w:sz w:val="28"/>
          <w:szCs w:val="28"/>
        </w:rPr>
        <w:t xml:space="preserve">Волегжанина</w:t>
      </w:r>
      <w:r>
        <w:rPr>
          <w:rFonts w:ascii="Times New Roman" w:hAnsi="Times New Roman" w:cs="Times New Roman"/>
          <w:sz w:val="28"/>
          <w:szCs w:val="28"/>
        </w:rPr>
        <w:t xml:space="preserve">. — Новосибирск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СГУПС, 2021. — ISBN 978-5-00148-221-5. — Текст</w:t>
      </w:r>
      <w:r>
        <w:rPr>
          <w:rFonts w:ascii="Times New Roman" w:hAnsi="Times New Roman" w:cs="Times New Roman"/>
          <w:sz w:val="28"/>
          <w:szCs w:val="28"/>
        </w:rPr>
        <w:t xml:space="preserve"> 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https://e.lanbook.com/book/217850/" w:history="1">
        <w:r>
          <w:rPr>
            <w:rStyle w:val="743"/>
            <w:rFonts w:ascii="Times New Roman" w:hAnsi="Times New Roman" w:cs="Times New Roman"/>
            <w:sz w:val="28"/>
            <w:szCs w:val="28"/>
          </w:rPr>
          <w:t xml:space="preserve">https://e.lanbook.com/book/217850/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Дополнительные источники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Цахуева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Д. С. Английский язык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учебно-методическое пособие / Д. С.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Цахуева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Н. Ю. Гаджиева, Э. С. Гасанова. — Махачкала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ДагГАУ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М.М.Джамбулатова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2023. — 67 с. — Текст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электронный // Лань : электронно-библиотечная система. — URL: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5" w:tooltip="https://e.lanbook.com/book/387947/" w:history="1">
        <w:r>
          <w:rPr>
            <w:rStyle w:val="743"/>
            <w:rFonts w:ascii="Times New Roman" w:hAnsi="Times New Roman" w:cs="Times New Roman"/>
            <w:sz w:val="28"/>
            <w:szCs w:val="28"/>
            <w:lang w:eastAsia="en-US"/>
          </w:rPr>
          <w:t xml:space="preserve">https://e.lanbook.com/book/387947/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Лобачева, Н. Н. Грамматика английского языка. Практикум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учебное пособие / Н. Н. Лобачева, Е. Ю. Пономарева, О. В. Прибыткова. — 2-е изд.,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перераб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и доп. — Воронеж : ВГУИТ, 2024. — 207 с. — ISBN 978-5-00032-689-3. — Текст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 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электронный // Лань : электронно-библиотечная система. — URL: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hyperlink r:id="rId16" w:tooltip="https://e.lanbook.com/book/431024/" w:history="1">
        <w:r>
          <w:rPr>
            <w:rStyle w:val="743"/>
            <w:rFonts w:ascii="Times New Roman" w:hAnsi="Times New Roman" w:eastAsia="Calibri" w:cs="Times New Roman"/>
            <w:sz w:val="28"/>
            <w:szCs w:val="28"/>
          </w:rPr>
          <w:t xml:space="preserve">https://e.lanbook.com/book/431024/</w:t>
        </w:r>
      </w:hyperlink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.Контроль и оценка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результатов освоения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35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3157"/>
        <w:gridCol w:w="3191"/>
      </w:tblGrid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jc w:val="center"/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(освоенные умения, усвоенные знания)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jc w:val="center"/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оценки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474"/>
        </w:trPr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 с коллегами, руководством, подчиненными и заказчиками;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-кратко и четко формулировать свои мысли, излагать их доступным для понимания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выполнения  практических 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74"/>
        </w:trPr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информационных технологий для решения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выполнения  практических 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74"/>
        </w:trPr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и четко формулировать свои мысли, излагать их доступным для понимания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выполнения  практических 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74"/>
        </w:trPr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и четко формулировать свои мысли, излагать их доступным для понимания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выполнения  практических 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74"/>
        </w:trPr>
        <w:tc>
          <w:tcPr>
            <w:tcW w:w="3227" w:type="dxa"/>
            <w:textDirection w:val="lrTb"/>
            <w:noWrap w:val="false"/>
          </w:tcPr>
          <w:p>
            <w:pPr>
              <w:ind w:right="284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 xml:space="preserve">ПК 2.2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. Разрабатывать технологические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процессы производства ремонтных работ железнодорожного пути и сооружений.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необходимой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поиск определение количественных и качественных показатели работы железнодорожного транспорта;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оценка выполнения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ПЕРЕЧЕНЬ ИСПОЛЬЗУЕМЫХ МЕТОДОВ ОБУЧЕНИЯ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/>
        <w:spacing w:after="0" w:line="240" w:lineRule="auto"/>
        <w:tabs>
          <w:tab w:val="left" w:pos="-709" w:leader="none"/>
          <w:tab w:val="left" w:pos="-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</w:t>
      </w:r>
      <w:r>
        <w:rPr>
          <w:rFonts w:ascii="Times New Roman" w:hAnsi="Times New Roman" w:cs="Times New Roman"/>
          <w:sz w:val="24"/>
          <w:szCs w:val="24"/>
        </w:rPr>
        <w:tab/>
        <w:t xml:space="preserve">Пассивные: объяснение, опрос, самостоятельная работа, контрольная работа, тестирование.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spacing w:after="0" w:line="240" w:lineRule="auto"/>
        <w:tabs>
          <w:tab w:val="left" w:pos="-709" w:leader="none"/>
          <w:tab w:val="left" w:pos="-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Активные и интерактивные: метод проектов, мозговой штурм, круглый стол интерактивная лекция, виртуальная экскурсия.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200" w:line="240" w:lineRule="auto"/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Segoe UI">
    <w:panose1 w:val="020B0502040504020204"/>
  </w:font>
  <w:font w:name="YS Text"/>
  <w:font w:name="Courier New">
    <w:panose1 w:val="020704090202050204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27317447"/>
      <w:docPartObj>
        <w:docPartGallery w:val="Page Numbers (Bottom of Page)"/>
        <w:docPartUnique w:val="true"/>
      </w:docPartObj>
      <w:rPr/>
    </w:sdtPr>
    <w:sdtContent>
      <w:p>
        <w:pPr>
          <w:pStyle w:val="74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8902379"/>
      <w:docPartObj>
        <w:docPartGallery w:val="Page Numbers (Bottom of Page)"/>
        <w:docPartUnique w:val="true"/>
      </w:docPartObj>
      <w:rPr/>
    </w:sdtPr>
    <w:sdtContent>
      <w:p>
        <w:pPr>
          <w:pStyle w:val="741"/>
          <w:jc w:val="right"/>
        </w:pPr>
        <w:r>
          <w:t xml:space="preserve">5</w:t>
        </w:r>
        <w:r/>
      </w:p>
    </w:sdtContent>
  </w:sdt>
  <w:p>
    <w:pPr>
      <w:pStyle w:val="74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8902388"/>
      <w:docPartObj>
        <w:docPartGallery w:val="Page Numbers (Bottom of Page)"/>
        <w:docPartUnique w:val="true"/>
      </w:docPartObj>
      <w:rPr/>
    </w:sdtPr>
    <w:sdtContent>
      <w:p>
        <w:pPr>
          <w:pStyle w:val="741"/>
        </w:pPr>
        <w:r/>
        <w:r/>
      </w:p>
    </w:sdtContent>
  </w:sdt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1"/>
    <w:next w:val="7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1"/>
    <w:next w:val="7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1"/>
    <w:next w:val="7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1"/>
    <w:next w:val="7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1"/>
    <w:next w:val="7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2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2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2"/>
    <w:link w:val="746"/>
    <w:uiPriority w:val="99"/>
  </w:style>
  <w:style w:type="character" w:styleId="45">
    <w:name w:val="Footer Char"/>
    <w:basedOn w:val="732"/>
    <w:link w:val="741"/>
    <w:uiPriority w:val="99"/>
  </w:style>
  <w:style w:type="paragraph" w:styleId="46">
    <w:name w:val="Caption"/>
    <w:basedOn w:val="731"/>
    <w:next w:val="73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3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2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2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table" w:styleId="735">
    <w:name w:val="Table Grid"/>
    <w:basedOn w:val="7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6" w:customStyle="1">
    <w:name w:val="c4"/>
    <w:basedOn w:val="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37" w:customStyle="1">
    <w:name w:val="c1"/>
    <w:basedOn w:val="732"/>
  </w:style>
  <w:style w:type="paragraph" w:styleId="738" w:customStyle="1">
    <w:name w:val="c29"/>
    <w:basedOn w:val="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39" w:customStyle="1">
    <w:name w:val="c27"/>
    <w:basedOn w:val="732"/>
  </w:style>
  <w:style w:type="paragraph" w:styleId="740">
    <w:name w:val="List Paragraph"/>
    <w:basedOn w:val="731"/>
    <w:uiPriority w:val="34"/>
    <w:qFormat/>
    <w:pPr>
      <w:contextualSpacing/>
      <w:ind w:left="720"/>
    </w:pPr>
    <w:rPr>
      <w:rFonts w:eastAsiaTheme="minorHAnsi"/>
      <w:lang w:eastAsia="en-US"/>
    </w:rPr>
  </w:style>
  <w:style w:type="paragraph" w:styleId="741">
    <w:name w:val="Footer"/>
    <w:basedOn w:val="731"/>
    <w:link w:val="7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742" w:customStyle="1">
    <w:name w:val="Нижний колонтитул Знак"/>
    <w:basedOn w:val="732"/>
    <w:link w:val="741"/>
    <w:uiPriority w:val="99"/>
  </w:style>
  <w:style w:type="character" w:styleId="743">
    <w:name w:val="Hyperlink"/>
    <w:basedOn w:val="732"/>
    <w:uiPriority w:val="99"/>
    <w:unhideWhenUsed/>
    <w:rPr>
      <w:color w:val="0000ff" w:themeColor="hyperlink"/>
      <w:u w:val="single"/>
    </w:rPr>
  </w:style>
  <w:style w:type="character" w:styleId="744">
    <w:name w:val="Strong"/>
    <w:basedOn w:val="732"/>
    <w:uiPriority w:val="22"/>
    <w:qFormat/>
    <w:rPr>
      <w:b/>
      <w:bCs/>
    </w:rPr>
  </w:style>
  <w:style w:type="paragraph" w:styleId="745">
    <w:name w:val="Normal (Web)"/>
    <w:basedOn w:val="7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46">
    <w:name w:val="Header"/>
    <w:basedOn w:val="731"/>
    <w:link w:val="7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7" w:customStyle="1">
    <w:name w:val="Верхний колонтитул Знак"/>
    <w:basedOn w:val="732"/>
    <w:link w:val="746"/>
    <w:uiPriority w:val="99"/>
    <w:rPr>
      <w:rFonts w:eastAsiaTheme="minorEastAsia"/>
      <w:lang w:eastAsia="ru-RU"/>
    </w:rPr>
  </w:style>
  <w:style w:type="table" w:styleId="748" w:customStyle="1">
    <w:name w:val="Сетка таблицы1"/>
    <w:basedOn w:val="733"/>
    <w:next w:val="7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9">
    <w:name w:val="Body Text"/>
    <w:basedOn w:val="731"/>
    <w:link w:val="750"/>
    <w:uiPriority w:val="1"/>
    <w:qFormat/>
    <w:pPr>
      <w:ind w:left="106" w:firstLine="18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750" w:customStyle="1">
    <w:name w:val="Основной текст Знак"/>
    <w:basedOn w:val="732"/>
    <w:link w:val="749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751" w:customStyle="1">
    <w:name w:val="Основной текст + 8;5 pt;Полужирный"/>
    <w:basedOn w:val="732"/>
    <w:qFormat/>
    <w:rPr>
      <w:rFonts w:ascii="Times New Roman" w:hAnsi="Times New Roman" w:eastAsia="Times New Roman" w:cs="Times New Roman"/>
      <w:b/>
      <w:bCs/>
      <w:color w:val="000000"/>
      <w:spacing w:val="0"/>
      <w:position w:val="0"/>
      <w:sz w:val="17"/>
      <w:szCs w:val="17"/>
      <w:highlight w:val="white"/>
      <w:vertAlign w:val="baseline"/>
      <w:lang w:val="ru-RU" w:bidi="ru-RU"/>
    </w:rPr>
  </w:style>
  <w:style w:type="paragraph" w:styleId="752" w:customStyle="1">
    <w:name w:val="Основной текст4"/>
    <w:basedOn w:val="731"/>
    <w:qFormat/>
    <w:pPr>
      <w:ind w:hanging="360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zh-CN"/>
    </w:rPr>
  </w:style>
  <w:style w:type="table" w:styleId="753" w:customStyle="1">
    <w:name w:val="Сетка таблицы11"/>
    <w:basedOn w:val="733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54">
    <w:name w:val="No Spacing"/>
    <w:uiPriority w:val="1"/>
    <w:qFormat/>
    <w:pPr>
      <w:spacing w:after="0" w:line="240" w:lineRule="auto"/>
    </w:pPr>
  </w:style>
  <w:style w:type="paragraph" w:styleId="755">
    <w:name w:val="Balloon Text"/>
    <w:basedOn w:val="731"/>
    <w:link w:val="7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6" w:customStyle="1">
    <w:name w:val="Текст выноски Знак"/>
    <w:basedOn w:val="732"/>
    <w:link w:val="755"/>
    <w:uiPriority w:val="99"/>
    <w:semiHidden/>
    <w:rPr>
      <w:rFonts w:ascii="Tahoma" w:hAnsi="Tahoma" w:cs="Tahoma"/>
      <w:sz w:val="16"/>
      <w:szCs w:val="16"/>
    </w:rPr>
  </w:style>
  <w:style w:type="character" w:styleId="757" w:customStyle="1">
    <w:name w:val="Unresolved Mention"/>
    <w:basedOn w:val="73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book.ru/book/953131/" TargetMode="External"/><Relationship Id="rId14" Type="http://schemas.openxmlformats.org/officeDocument/2006/relationships/hyperlink" Target="https://e.lanbook.com/book/217850/" TargetMode="External"/><Relationship Id="rId15" Type="http://schemas.openxmlformats.org/officeDocument/2006/relationships/hyperlink" Target="https://e.lanbook.com/book/387947/" TargetMode="External"/><Relationship Id="rId16" Type="http://schemas.openxmlformats.org/officeDocument/2006/relationships/hyperlink" Target="https://e.lanbook.com/book/43102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B8D75-3A52-4E4F-BDFD-53C6BEF2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метод кабинет</cp:lastModifiedBy>
  <cp:revision>7</cp:revision>
  <dcterms:created xsi:type="dcterms:W3CDTF">2025-04-10T05:49:00Z</dcterms:created>
  <dcterms:modified xsi:type="dcterms:W3CDTF">2025-05-30T11:36:54Z</dcterms:modified>
</cp:coreProperties>
</file>