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color w:val="FF0000"/>
          <w:sz w:val="24"/>
          <w:lang w:val="en-US"/>
        </w:rPr>
      </w:pPr>
      <w:r>
        <w:rPr>
          <w:rFonts w:cs="Times New Roman" w:ascii="Times New Roman" w:hAnsi="Times New Roman"/>
          <w:sz w:val="24"/>
        </w:rPr>
        <w:t xml:space="preserve">Приложение </w:t>
      </w:r>
      <w:r>
        <w:rPr>
          <w:rFonts w:cs="Times New Roman" w:ascii="Times New Roman" w:hAnsi="Times New Roman"/>
          <w:sz w:val="24"/>
          <w:lang w:val="en-US"/>
        </w:rPr>
        <w:t>20</w:t>
      </w:r>
    </w:p>
    <w:p>
      <w:pPr>
        <w:pStyle w:val="Normal"/>
        <w:spacing w:before="0" w:after="0"/>
        <w:jc w:val="right"/>
        <w:rPr/>
      </w:pPr>
      <w:r>
        <w:rPr>
          <w:rFonts w:cs="Times New Roman" w:ascii="Times New Roman" w:hAnsi="Times New Roman"/>
          <w:sz w:val="24"/>
        </w:rPr>
        <w:t xml:space="preserve">к ОПОП-ППССЗ по специальности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23.02.01  Организация перевозок и управление 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на транспорте (по видам)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РАБОЧАЯ ПРОГРАММА УЧЕБНОЙ ДИСЦИПЛИНЫ</w:t>
      </w:r>
      <w:r>
        <w:rPr>
          <w:rStyle w:val="FootnoteCharacters"/>
          <w:rStyle w:val="FootnoteAnchor"/>
          <w:rFonts w:cs="Times New Roman" w:ascii="Times New Roman" w:hAnsi="Times New Roman"/>
          <w:b/>
          <w:sz w:val="24"/>
        </w:rPr>
        <w:footnoteReference w:id="2"/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7"/>
        <w:rPr>
          <w:rFonts w:ascii="Times New Roman" w:hAnsi="Times New Roman" w:eastAsia="Times New Roman" w:cs="Times New Roman"/>
          <w:b/>
          <w:b/>
          <w:iCs/>
          <w:sz w:val="28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36"/>
          <w:lang w:eastAsia="ru-RU"/>
        </w:rPr>
        <w:t>СГ.06 ОСНОВЫ ФИНАНСОВОЙ ГРАМОТНОСТИ</w:t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iCs/>
          <w:sz w:val="28"/>
          <w:szCs w:val="36"/>
          <w:lang w:eastAsia="ru-RU"/>
        </w:rPr>
      </w:pPr>
      <w:r>
        <w:rPr>
          <w:rFonts w:eastAsia="Times New Roman" w:cs="Times New Roman" w:ascii="Times New Roman" w:hAnsi="Times New Roman"/>
          <w:b/>
          <w:iCs/>
          <w:sz w:val="28"/>
          <w:szCs w:val="36"/>
          <w:lang w:eastAsia="ru-RU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для специальности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 xml:space="preserve">23.02.01 Организация перевозок и управление на транспорте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cs="Times New Roman" w:ascii="Times New Roman" w:hAnsi="Times New Roman"/>
          <w:sz w:val="28"/>
          <w:szCs w:val="36"/>
        </w:rPr>
        <w:t>(по видам)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0"/>
          <w:szCs w:val="36"/>
        </w:rPr>
      </w:pPr>
      <w:r>
        <w:rPr>
          <w:rFonts w:cs="Times New Roman" w:ascii="Times New Roman" w:hAnsi="Times New Roman"/>
          <w:i/>
          <w:sz w:val="20"/>
          <w:szCs w:val="36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Базовая подготовка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>среднего профессионального образования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i/>
          <w:i/>
          <w:sz w:val="24"/>
        </w:rPr>
      </w:pPr>
      <w:r>
        <w:rPr>
          <w:rFonts w:cs="Times New Roman" w:ascii="Times New Roman" w:hAnsi="Times New Roman"/>
          <w:i/>
          <w:sz w:val="24"/>
        </w:rPr>
        <w:t xml:space="preserve">(год начала подготовки: </w:t>
      </w:r>
      <w:r>
        <w:rPr>
          <w:rFonts w:cs="Times New Roman" w:ascii="Times New Roman" w:hAnsi="Times New Roman"/>
          <w:b/>
          <w:i/>
          <w:sz w:val="24"/>
        </w:rPr>
        <w:t>2025)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i/>
          <w:i/>
          <w:sz w:val="24"/>
          <w:szCs w:val="24"/>
        </w:rPr>
      </w:pPr>
      <w:r>
        <w:rPr>
          <w:rFonts w:cs="Times New Roman" w:ascii="Times New Roman" w:hAnsi="Times New Roman"/>
          <w:b/>
          <w:bCs/>
          <w:i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СОДЕРЖАНИЕ</w:t>
      </w:r>
    </w:p>
    <w:tbl>
      <w:tblPr>
        <w:tblW w:w="9497" w:type="dxa"/>
        <w:jc w:val="left"/>
        <w:tblInd w:w="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6"/>
        <w:gridCol w:w="1971"/>
      </w:tblGrid>
      <w:tr>
        <w:trPr/>
        <w:tc>
          <w:tcPr>
            <w:tcW w:w="7526" w:type="dxa"/>
            <w:tcBorders/>
          </w:tcPr>
          <w:p>
            <w:pPr>
              <w:pStyle w:val="Normal"/>
              <w:snapToGrid w:val="false"/>
              <w:spacing w:lineRule="auto" w:line="240" w:before="0" w:after="0"/>
              <w:ind w:firstLine="709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СТР.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Style21"/>
              <w:numPr>
                <w:ilvl w:val="0"/>
                <w:numId w:val="3"/>
              </w:numPr>
              <w:tabs>
                <w:tab w:val="clear" w:pos="708"/>
                <w:tab w:val="left" w:pos="986" w:leader="none"/>
              </w:tabs>
              <w:spacing w:lineRule="auto" w:line="240" w:before="0" w:after="0"/>
              <w:ind w:left="567" w:hanging="0"/>
              <w:contextualSpacing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ПАСПОРТ РАБОЧЕЙ ПРОГРАММЫ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Style21"/>
              <w:numPr>
                <w:ilvl w:val="0"/>
                <w:numId w:val="3"/>
              </w:numPr>
              <w:tabs>
                <w:tab w:val="clear" w:pos="708"/>
                <w:tab w:val="left" w:pos="972" w:leader="none"/>
              </w:tabs>
              <w:spacing w:lineRule="auto" w:line="240" w:before="0" w:after="0"/>
              <w:ind w:left="567" w:hanging="0"/>
              <w:contextualSpacing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СТРУКТУРА И СОДЕРЖАНИЕ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>
        <w:trPr>
          <w:trHeight w:val="670" w:hRule="atLeast"/>
        </w:trPr>
        <w:tc>
          <w:tcPr>
            <w:tcW w:w="7526" w:type="dxa"/>
            <w:tcBorders/>
          </w:tcPr>
          <w:p>
            <w:pPr>
              <w:pStyle w:val="Style21"/>
              <w:numPr>
                <w:ilvl w:val="0"/>
                <w:numId w:val="3"/>
              </w:numPr>
              <w:tabs>
                <w:tab w:val="clear" w:pos="708"/>
                <w:tab w:val="left" w:pos="986" w:leader="none"/>
              </w:tabs>
              <w:spacing w:lineRule="auto" w:line="240" w:before="0" w:after="0"/>
              <w:ind w:left="567" w:hanging="0"/>
              <w:contextualSpacing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УСЛОВИЯ РЕАЛИЗАЦИИ ПРОГРАММЫ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644" w:leader="none"/>
                <w:tab w:val="left" w:pos="972" w:leader="none"/>
              </w:tabs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>
            <w:pPr>
              <w:pStyle w:val="Normal"/>
              <w:spacing w:lineRule="auto" w:line="240" w:before="0" w:after="0"/>
              <w:ind w:left="567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>
        <w:trPr/>
        <w:tc>
          <w:tcPr>
            <w:tcW w:w="7526" w:type="dxa"/>
            <w:tcBorders/>
          </w:tcPr>
          <w:p>
            <w:pPr>
              <w:pStyle w:val="Normal"/>
              <w:numPr>
                <w:ilvl w:val="0"/>
                <w:numId w:val="3"/>
              </w:numPr>
              <w:tabs>
                <w:tab w:val="clear" w:pos="708"/>
                <w:tab w:val="left" w:pos="644" w:leader="none"/>
                <w:tab w:val="left" w:pos="972" w:leader="none"/>
              </w:tabs>
              <w:spacing w:lineRule="auto" w:line="240" w:before="0" w:after="0"/>
              <w:ind w:left="567" w:hanging="0"/>
              <w:jc w:val="both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ПЕРЕЧЕНЬ ИСПОЛЬЗУЕМЫХ МЕТОДОВ  ОБУЧЕНИЯ</w:t>
            </w:r>
          </w:p>
        </w:tc>
        <w:tc>
          <w:tcPr>
            <w:tcW w:w="1971" w:type="dxa"/>
            <w:tcBorders/>
          </w:tcPr>
          <w:p>
            <w:pPr>
              <w:pStyle w:val="Normal"/>
              <w:spacing w:lineRule="auto" w:line="240" w:before="0" w:after="0"/>
              <w:ind w:left="21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</w:tr>
    </w:tbl>
    <w:p>
      <w:pPr>
        <w:pStyle w:val="Normal"/>
        <w:spacing w:lineRule="auto" w:line="240" w:before="0" w:after="0"/>
        <w:ind w:left="567" w:firstLine="284"/>
        <w:jc w:val="center"/>
        <w:rPr/>
      </w:pPr>
      <w:r>
        <w:br w:type="page"/>
      </w:r>
      <w:r>
        <w:rPr>
          <w:rFonts w:cs="Times New Roman" w:ascii="Times New Roman" w:hAnsi="Times New Roman"/>
          <w:b/>
          <w:bCs/>
          <w:sz w:val="24"/>
          <w:szCs w:val="24"/>
        </w:rPr>
        <w:t>1 ПАСПОРТ РАБОЧЕЙ ПРОГРАММЫ УЧЕБНОЙ ДИСЦИПЛИНЫ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СГ.06 ОСНОВЫ ФИНАНСОВОЙ ГРАМОТНОСТИ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8"/>
          <w:szCs w:val="24"/>
        </w:rPr>
      </w:pPr>
      <w:r>
        <w:rPr>
          <w:rFonts w:cs="Times New Roman" w:ascii="Times New Roman" w:hAnsi="Times New Roman"/>
          <w:b/>
          <w:bCs/>
          <w:sz w:val="18"/>
          <w:szCs w:val="24"/>
        </w:rPr>
      </w:r>
    </w:p>
    <w:p>
      <w:pPr>
        <w:pStyle w:val="Style21"/>
        <w:numPr>
          <w:ilvl w:val="1"/>
          <w:numId w:val="10"/>
        </w:numPr>
        <w:spacing w:lineRule="auto" w:line="240" w:before="0" w:after="0"/>
        <w:contextualSpacing w:val="false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Область применения рабочей программы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4"/>
          <w:szCs w:val="24"/>
        </w:rPr>
        <w:t xml:space="preserve">Рабочая программа учебной дисциплины СГ.06 Основы финансовой грамотности является обязательной </w:t>
      </w:r>
      <w:r>
        <w:rPr>
          <w:rFonts w:cs="Times New Roman" w:ascii="Times New Roman" w:hAnsi="Times New Roman"/>
          <w:sz w:val="24"/>
        </w:rPr>
        <w:t>частью</w:t>
      </w:r>
      <w:r>
        <w:rPr>
          <w:rFonts w:cs="Times New Roman" w:ascii="Times New Roman" w:hAnsi="Times New Roman"/>
          <w:sz w:val="24"/>
          <w:szCs w:val="24"/>
        </w:rPr>
        <w:t xml:space="preserve"> основной профессиональной образовательной программы - программы подготовки специалистов среднего звена (далее – ОПОП-ППССЗ) в соответствии с ФГОС для специальности 23.02.01 Организация перевозок и управление на транспорте (по видам)</w:t>
      </w:r>
      <w:r>
        <w:rPr>
          <w:rFonts w:cs="Times New Roman" w:ascii="Times New Roman" w:hAnsi="Times New Roman"/>
          <w:spacing w:val="-2"/>
          <w:sz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pacing w:val="-2"/>
          <w:sz w:val="24"/>
          <w:szCs w:val="24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cs="Times New Roman" w:ascii="Times New Roman" w:hAnsi="Times New Roman"/>
          <w:spacing w:val="-4"/>
          <w:sz w:val="24"/>
          <w:szCs w:val="24"/>
        </w:rPr>
        <w:t>Рабочая программа учебной дисциплины может быть использована в профессиональной подготовке, переподготовке и повышении квалификации рабочих и служащих железнодорожного транспорта по профессиям: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15894 Оператор поста централизации;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18401 Сигналист;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17244 Приемосдатчик груза и багажа;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25337</w:t>
        <w:tab/>
        <w:t>Оператор по обработке перевозочных документов;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18726</w:t>
        <w:tab/>
        <w:t>Составитель поездов;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16033</w:t>
        <w:tab/>
        <w:t>Оператор сортировочной горки;</w:t>
      </w:r>
    </w:p>
    <w:p>
      <w:pPr>
        <w:pStyle w:val="Normal"/>
        <w:tabs>
          <w:tab w:val="clear" w:pos="708"/>
          <w:tab w:val="left" w:pos="1418" w:leader="none"/>
        </w:tabs>
        <w:spacing w:lineRule="auto" w:line="240" w:before="0" w:after="0"/>
        <w:ind w:firstLine="709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25354</w:t>
        <w:tab/>
        <w:t>Оператор при дежурном по станции.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/>
          <w:b/>
          <w:bCs/>
          <w:sz w:val="16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16"/>
          <w:szCs w:val="24"/>
        </w:rPr>
      </w:r>
    </w:p>
    <w:p>
      <w:pPr>
        <w:pStyle w:val="Normal"/>
        <w:spacing w:lineRule="auto" w:line="240" w:before="0" w:after="0"/>
        <w:ind w:firstLine="709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1.2 Место учебной дисциплины в структуре ОПОП-ППССЗ: 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Дисциплина входит в социально-гуманитарный цикл.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1.3 Планируемые результаты освоения учебной дисциплины: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  <w:t xml:space="preserve">В рамках программы учебной дисциплины обучающимися осваиваются умения и знания: </w:t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686"/>
        <w:gridCol w:w="3969"/>
      </w:tblGrid>
      <w:tr>
        <w:trPr>
          <w:trHeight w:val="20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Код 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cs="Times New Roman" w:ascii="Times New Roman" w:hAnsi="Times New Roman"/>
                <w:b/>
                <w:sz w:val="24"/>
              </w:rPr>
              <w:t>Знания</w:t>
            </w:r>
          </w:p>
        </w:tc>
      </w:tr>
      <w:tr>
        <w:trPr>
          <w:trHeight w:val="21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 xml:space="preserve">Уметь: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выявлять и отбирать информацию, необходимую для решения задачи;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составлять план действий;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определять необходимые ресурсы;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- реализовывать составленный план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- </w:t>
            </w:r>
            <w:r>
              <w:rPr>
                <w:rFonts w:cs="Times New Roman" w:ascii="Times New Roman" w:hAnsi="Times New Roman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>
        <w:trPr>
          <w:trHeight w:val="21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Уметь: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определять задачи для сбора информации;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планировать процесс поиска информации и осуществлять выбор необходимых источников;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структурировать получаемую информацию; 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оценивать практическую значимость результатов поиска;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- </w:t>
            </w:r>
            <w:r>
              <w:rPr>
                <w:rFonts w:cs="Times New Roman" w:ascii="Times New Roman" w:hAnsi="Times New Roman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формат представления результатов поиска информации,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современные средства и устройства информатизации;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>
        <w:trPr>
          <w:trHeight w:val="21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Уметь: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- </w:t>
            </w:r>
            <w:r>
              <w:rPr>
                <w:rFonts w:cs="Times New Roman" w:ascii="Times New Roman" w:hAnsi="Times New Roman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учитывать инфляцию при решении финансовых задач в профессии, личном планировании;</w:t>
            </w:r>
          </w:p>
          <w:p>
            <w:pPr>
              <w:pStyle w:val="Normal"/>
              <w:numPr>
                <w:ilvl w:val="0"/>
                <w:numId w:val="2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планировать личные доходы и расходы, принимать финансовые решения, составлять личный бюджет;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выявлять сильные и слабые стороны бизнес-идеи, плана достижения личных финансовых целей;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понятие инфляции, ее влияние на решение финансовых задач в профессии, личном планировании;</w:t>
            </w:r>
          </w:p>
          <w:p>
            <w:pPr>
              <w:pStyle w:val="Normal"/>
              <w:numPr>
                <w:ilvl w:val="0"/>
                <w:numId w:val="6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структуру личных доходов и расходов, правила составления личного и семейного бюджета;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>
        <w:trPr>
          <w:trHeight w:val="21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Уметь: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b/>
              </w:rPr>
              <w:t xml:space="preserve">- </w:t>
            </w:r>
            <w:r>
              <w:rPr>
                <w:rFonts w:cs="Times New Roman" w:ascii="Times New Roman" w:hAnsi="Times New Roman"/>
              </w:rPr>
              <w:t xml:space="preserve"> работать в коллективе и команде; 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- принципы организации проектной деятельности</w:t>
            </w:r>
          </w:p>
        </w:tc>
      </w:tr>
      <w:tr>
        <w:trPr>
          <w:trHeight w:val="212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jc w:val="both"/>
              <w:rPr/>
            </w:pPr>
            <w:r>
              <w:rPr>
                <w:rFonts w:cs="Times New Roman" w:ascii="Times New Roman" w:hAnsi="Times New Roman"/>
              </w:rPr>
              <w:t>ПК 3.1 Планировать и организовывать работу по транспортно-логистическому обслуживанию в сфере грузовых перевозок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Уметь: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обеспечивать безопасность денежных операций в цифровой среде;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Знать: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различие между наличными и безналичными платежами, порядок использования их при оплате покупки;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персональные данные, их значение для безопасного использования денег;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риски при использовании различных платежных инструментов;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подтверждение расчетов.</w:t>
            </w:r>
          </w:p>
        </w:tc>
      </w:tr>
      <w:tr>
        <w:trPr>
          <w:trHeight w:val="1690" w:hRule="atLeast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200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</w:rPr>
              <w:t>ПК 3.2. Планировать и организовывать работу по транспортному обслуживанию в сфере пассажирских перевозок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Уметь: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eastAsia="ru-RU"/>
              </w:rPr>
              <w:t>обеспечивать безопасность денежных операций в цифровой среде;</w:t>
            </w:r>
          </w:p>
          <w:p>
            <w:pPr>
              <w:pStyle w:val="Normal"/>
              <w:numPr>
                <w:ilvl w:val="0"/>
                <w:numId w:val="5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использовать различные цифровые средства при решении профессиональных задач, задач личностного развития и финансового благополучия.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b/>
              </w:rPr>
              <w:t>Знать: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основные риски, связанные с использованием денег;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платежи и расчеты, поставщики платежных услуг;</w:t>
            </w:r>
          </w:p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-  платежные агенты, платежные системы;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персональные данные, их значение для безопасного использования денег;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техники социальной инженерии, включая фишинг, и способы защиты;</w:t>
            </w:r>
          </w:p>
          <w:p>
            <w:pPr>
              <w:pStyle w:val="Normal"/>
              <w:numPr>
                <w:ilvl w:val="0"/>
                <w:numId w:val="8"/>
              </w:numPr>
              <w:spacing w:lineRule="auto" w:line="240" w:before="0" w:after="0"/>
              <w:ind w:left="0" w:hanging="0"/>
              <w:jc w:val="both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подтверждение расчетов.</w:t>
            </w:r>
          </w:p>
        </w:tc>
      </w:tr>
    </w:tbl>
    <w:p>
      <w:pPr>
        <w:pStyle w:val="Normal"/>
        <w:spacing w:lineRule="auto" w:line="240" w:before="0" w:after="0"/>
        <w:jc w:val="center"/>
        <w:rPr/>
      </w:pPr>
      <w:r>
        <w:br w:type="page"/>
      </w:r>
      <w:r>
        <w:rPr>
          <w:rFonts w:cs="Times New Roman" w:ascii="Times New Roman" w:hAnsi="Times New Roman"/>
          <w:b/>
          <w:bCs/>
          <w:sz w:val="24"/>
          <w:szCs w:val="24"/>
        </w:rPr>
        <w:t>2. СТРУКТУРА И СОДЕРЖАНИЕ УЧЕБНОЙ ДИСЦИПЛИНЫ</w:t>
      </w:r>
    </w:p>
    <w:p>
      <w:pPr>
        <w:pStyle w:val="Normal"/>
        <w:shd w:fill="FFFFFF" w:val="clear"/>
        <w:spacing w:lineRule="exact" w:line="322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spacing w:lineRule="exact" w:line="322"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>
      <w:pPr>
        <w:pStyle w:val="Normal"/>
        <w:shd w:fill="FFFFFF" w:val="clear"/>
        <w:spacing w:lineRule="exact" w:line="322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Очная форма обучения</w:t>
      </w:r>
    </w:p>
    <w:tbl>
      <w:tblPr>
        <w:tblW w:w="9490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0"/>
        <w:gridCol w:w="1800"/>
      </w:tblGrid>
      <w:tr>
        <w:trPr>
          <w:trHeight w:val="460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>
        <w:trPr>
          <w:trHeight w:val="338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38" w:hRule="atLeast"/>
        </w:trPr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>Промежуточная аттестация (1(3) семестр) – дифференцированный зачет</w:t>
            </w:r>
          </w:p>
        </w:tc>
      </w:tr>
    </w:tbl>
    <w:p>
      <w:pPr>
        <w:pStyle w:val="Normal"/>
        <w:shd w:fill="FFFFFF" w:val="clear"/>
        <w:spacing w:lineRule="exact" w:line="322" w:before="0" w:after="0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spacing w:lineRule="exact" w:line="322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Заочная форма обучения</w:t>
      </w:r>
    </w:p>
    <w:tbl>
      <w:tblPr>
        <w:tblW w:w="9490" w:type="dxa"/>
        <w:jc w:val="left"/>
        <w:tblInd w:w="-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0"/>
        <w:gridCol w:w="1800"/>
      </w:tblGrid>
      <w:tr>
        <w:trPr>
          <w:trHeight w:val="460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>
        <w:trPr>
          <w:trHeight w:val="285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>
        <w:trPr>
          <w:trHeight w:val="338" w:hRule="atLeast"/>
        </w:trPr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napToGrid w:val="false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>
          <w:trHeight w:val="238" w:hRule="atLeast"/>
        </w:trPr>
        <w:tc>
          <w:tcPr>
            <w:tcW w:w="7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7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>
        <w:trPr/>
        <w:tc>
          <w:tcPr>
            <w:tcW w:w="94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hd w:fill="FFFFFF" w:val="clear"/>
              <w:spacing w:before="0" w:after="0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Промежуточная аттестация (1 курс) - дифференцированный зачет 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footnotePr>
            <w:numFmt w:val="decimal"/>
          </w:footnotePr>
          <w:type w:val="nextPage"/>
          <w:pgSz w:w="11906" w:h="16838"/>
          <w:pgMar w:left="1134" w:right="595" w:gutter="0" w:header="0" w:top="1134" w:footer="300" w:bottom="1134"/>
          <w:pgNumType w:fmt="decimal"/>
          <w:formProt w:val="false"/>
          <w:titlePg/>
          <w:textDirection w:val="lrTb"/>
          <w:docGrid w:type="default" w:linePitch="299" w:charSpace="0"/>
        </w:sect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2.2. Тематический план и содержание учебной дисциплины (очная форма обучения)</w:t>
      </w:r>
    </w:p>
    <w:tbl>
      <w:tblPr>
        <w:tblW w:w="1587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5"/>
        <w:gridCol w:w="9150"/>
        <w:gridCol w:w="933"/>
        <w:gridCol w:w="1901"/>
      </w:tblGrid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Введение в курс финансовой грамотности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Деньги и операции с ними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1.1. Деньги и платежи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«Платежная карта» (подготовка мини-проекта)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1.2. Покупки и цены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</w:tr>
      <w:tr>
        <w:trPr>
          <w:trHeight w:val="87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№1 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Влияние инфляции на финансовые возможности человека. Издержки проведения платежей разного вида.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</w:tr>
      <w:tr>
        <w:trPr>
          <w:trHeight w:val="842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Расчет полной цены. Выбор наилучшего предложения. Выбор надежного интернет-магазина.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Планирование и управление личными финансами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 вкладов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«Платежная карта» (подготовка мини-проекта)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2.3. Кредиты и займы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851" w:leader="none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851" w:leader="none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1142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974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ие №4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Безопасное использование кредитных инструментов. Выбор добросовестного поставщика финансовых услуг. Выбор оптимальных условий заимствования.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Управление личным бюджетом.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Раздел 3. Риск и доходность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</w:rPr>
              <w:t>Тема 3.1. Инвестирование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3.2. Страхование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02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860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№5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Стратегия инвестирования. Требования для открытия собственного бизнеса и алгоритм действий.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84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№6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  <w:u w:val="single"/>
              </w:rPr>
              <w:t>Раздел 4. Финансовая среда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4.1. Финансовые взаимоотношения с государством.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Пенсионная система России. Социальная поддержка граждан. Возможности инициативного бюджетирования.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№7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Применение налоговых вычетов для увеличения дохода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4.2. Защита прав граждан в финансовой сфере.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386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557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№8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Типичные  ситуации нарушения  прав граждан в финансовой сфере.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58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>
        <w:trPr>
          <w:trHeight w:val="23" w:hRule="atLeast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  <w:r>
        <w:br w:type="page"/>
      </w:r>
    </w:p>
    <w:p>
      <w:pPr>
        <w:pStyle w:val="Normal"/>
        <w:ind w:firstLine="709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2.3. Тематический план и содержание учебной дисциплины (заочная форма обучения)</w:t>
      </w:r>
    </w:p>
    <w:tbl>
      <w:tblPr>
        <w:tblW w:w="15877" w:type="dxa"/>
        <w:jc w:val="left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65"/>
        <w:gridCol w:w="9150"/>
        <w:gridCol w:w="933"/>
        <w:gridCol w:w="1901"/>
      </w:tblGrid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Наименование разделов и тем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практические занятия,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Введение в курс финансовой грамотности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Потребности и ресурсы. Финансовые цели. Финансовое благополучие и финансовые риски. Финансовые решения. Финансовое поведение. Финансовая культура.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Раздел 1. Деньги и операции с ними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1.1. Деньги и платежи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и функции денег. Виды современных денег, их основные характеристики.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Денежная система. Покупательная способность денег. Инфляция. Основные риски, связанные с использованием денег. Платежи и расчеты. Поставщики платежных услуг. Платежные агенты. Платежные системы. Основные платежные инструменты: банковский счет, мобильный и интернет-банк, дебетовая, кредитная банковские карты, электронный кошелек. Риски при использовании различных платежных инструментов. Подтверждение расчетов.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 №1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«Платежная карта» (подготовка мини-проекта)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1.2. Покупки и цены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Выбор товаров и услуг. Обязательная информация о товаре (услуге). Поставщики товаров и услуг. Агрегаторы и маркетплейсы. Цена товара. Дифференциация цен. Ценовая дискриминация. Программы лояльности (дисконтные карты, скидки, бонусы, кэшбек). Варианты оплаты (разные виды денег; оплата в момент получения, предоплата, покупка в кредит, рассрочка, подписка). Роль рекламы и других способов продвижения товаров и услуг продавцами. Возврат товара после покупки.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Тема 1.3. Безопасное использование денег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Финансовая безопасность в сфере денежного обращения и покупок. Выбор добросовестного поставщика финансовых услуг. Персональные данные, их значение для безопасного использования денег. Основы безопасного пользования банкоматами. Безопасность денежных операций в цифровой среде. Техники социальной инженерии, включая фишинг, и способы защиты. Правила возмещения средств, несанкционированно списанных со счета.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</w:tr>
      <w:tr>
        <w:trPr>
          <w:trHeight w:val="87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№1 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Влияние инфляции на финансовые возможности человека. Издержки проведения платежей разного вида.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ПК 3.2</w:t>
            </w:r>
          </w:p>
        </w:tc>
      </w:tr>
      <w:tr>
        <w:trPr>
          <w:trHeight w:val="842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Cs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№2 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Расчет полной цены. Выбор наилучшего предложения. Выбор надежного интернет-магазина.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 xml:space="preserve">Раздел 2. Планирование и управление личными финансами 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2.1. Личный и семейный бюджет, финансовое планирование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FF0000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Постановка финансовых целей (краткосрочные и долгосрочные финансовые цели, принцип SMART, выбор способов и контроль достижения финансовой цели). Человеческий и финансовый капитал. Виды доходов и расходов. Принципы ведения личного и семейного бюджета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2.2. Личные сбережения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сбережений. Изменение стоимости денег во времени. Основные формы сбережений: наличные деньги, банковские счета и их виды. Доходность банковских вкладов. Простые и сложные проценты. Влияние инфляции на процентный доход. Сейфовые ячейки. Риски для сбережений и пути их минимизации. Система страхования  вкладов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720" w:leader="none"/>
                <w:tab w:val="left" w:pos="1260" w:leader="none"/>
              </w:tabs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 №2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«Платежная карта» (подготовка мини-проекта)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2.3. Кредиты и займы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851" w:leader="none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заимствований. Проценты по кредитам и займам. Неустойки. Регулирование процентов и неустоек. Основные инструменты заимствования.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Банковский кредит. Принципы кредитования. Виды кредитов. Условия кредитования. Формы обеспечения возвратности кредита. Кредитный договор.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Риски использования кредитов и займов и пути их минимизации. Страхование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 кредитовании. Взыскание долгов. Кредитная история. Кредитные каникулы. Реструктуризация и рефинансирование кредита. Личное банкротство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851" w:leader="none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2.4. Безопасное управление личными финансами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4,5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Финансовая безопасность и цифровая среда в сфере личных финансов. Оптимизация личного и семейного бюджета с учетом обеспечения безопасности.  Удаленное банковское обслуживание. Дистанционное управление личными финансами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1160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Практическое занятие №3 </w:t>
            </w:r>
          </w:p>
          <w:p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 xml:space="preserve">Возможности сокращения расходов и повышения доходов. Безопасное использование сберегательных инструментов. Выбор добросовестного поставщика финансовых услуг. 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118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ие №4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Безопасное использование кредитных инструментов. Выбор добросовестного поставщика финансовых услуг. Выбор оптимальных условий заимствования.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>Управление личным бюджетом.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u w:val="single"/>
              </w:rPr>
              <w:t>Раздел 3. Риск и доходность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tabs>
                <w:tab w:val="clear" w:pos="708"/>
                <w:tab w:val="left" w:pos="992" w:leader="none"/>
              </w:tabs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10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</w:rPr>
              <w:t>Тема 3.1. Инвестирование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Цели и риски инвестирования. Ликвидность и доходность инвестиций. Взаимосвязь доходности и риска. Основные инвестиционные продукты и их базовые характеристики. Индивидуальный инвестиционный счет (ИИС). Формирование инвестиционного портфеля. Диверсификация. Мошенничество в сфере инвестиций, способы защиты от него. Особенности финансовых пирамид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3.2. Страхование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1102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Страхование как один из способов управления рисками. Виды страхования: личное страхование, имущественное страхование, страхование гражданской ответственности. Основные виды страховых продуктов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3.3. Предпринимательство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предпринимательства в жизни человека и общества. Условия развития стартапов и малого бизнеса. Формы ведения предпринимательской деятельности и их основные характеристики. Возможные источники финансирования малого бизнеса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860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№5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Стратегия инвестирования. Требования для открытия собственного бизнеса и алгоритм действий.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884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№6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Безопасное использование страховых продуктов. Выбор добросовестного поставщика страховых услуг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  <w:u w:val="single"/>
              </w:rPr>
              <w:t>Раздел 4. Финансовая среда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</w:rPr>
              <w:t>8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4.1. Финансовые взаимоотношения с государством.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pacing w:val="-8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pacing w:val="-8"/>
                <w:sz w:val="24"/>
                <w:szCs w:val="24"/>
                <w:u w:val="single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Роль налогов, налоговой и социальной политики государства для экономики страны и личного благосостояния граждан. Налоги физических лиц. Налоговые вычеты и льготы. Пенсионная система России. Социальная поддержка граждан. Возможности инициативного бюджетирования.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01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№7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Применение налоговых вычетов для увеличения дохода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389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Тема 4.2. Защита прав граждан в финансовой сфере.</w:t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snapToGrid w:val="false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</w:r>
          </w:p>
        </w:tc>
      </w:tr>
      <w:tr>
        <w:trPr>
          <w:trHeight w:val="420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eastAsia="ru-RU"/>
              </w:rPr>
              <w:t>Самостоятельная работа обучающихся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Содержание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2"/>
                <w:sz w:val="24"/>
                <w:szCs w:val="24"/>
              </w:rPr>
              <w:t>у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н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о ма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ериа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л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а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Основные права граждан в финансовой сфере и формы их защиты. Задачи и полномочия Банка России, других государственных органов в сфере защиты прав потребителей финансовых услуг. Досудебное и судебное урегулирование споров. Уполномоченный по правам потребителей финансовых услуг. Особенности защиты прав потребителей в цифровой среде.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</w:tcPr>
          <w:p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02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03</w:t>
            </w:r>
          </w:p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  <w:t>ОК 04</w:t>
            </w:r>
          </w:p>
        </w:tc>
      </w:tr>
      <w:tr>
        <w:trPr>
          <w:trHeight w:val="557" w:hRule="atLeast"/>
        </w:trPr>
        <w:tc>
          <w:tcPr>
            <w:tcW w:w="3893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napToGrid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9150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TableParagraph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>Практическое заня</w:t>
            </w:r>
            <w:r>
              <w:rPr>
                <w:rFonts w:eastAsia="Times New Roman" w:cs="Times New Roman" w:ascii="Times New Roman" w:hAnsi="Times New Roman"/>
                <w:b/>
                <w:bCs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</w:rPr>
              <w:t xml:space="preserve">ие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№8</w:t>
            </w:r>
          </w:p>
          <w:p>
            <w:pPr>
              <w:pStyle w:val="TableParagraph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Типичные  ситуации нарушения  прав граждан в финансовой сфере.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</w:tr>
      <w:tr>
        <w:trPr>
          <w:trHeight w:val="23" w:hRule="atLeast"/>
        </w:trPr>
        <w:tc>
          <w:tcPr>
            <w:tcW w:w="1587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eastAsia="ru-RU"/>
              </w:rPr>
              <w:t>Промежуточная аттестация: дифференцированный зачет</w:t>
            </w:r>
          </w:p>
        </w:tc>
      </w:tr>
      <w:tr>
        <w:trPr>
          <w:trHeight w:val="23" w:hRule="atLeast"/>
        </w:trPr>
        <w:tc>
          <w:tcPr>
            <w:tcW w:w="3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921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tabs>
                <w:tab w:val="clear" w:pos="708"/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>Всего:</w:t>
            </w:r>
          </w:p>
        </w:tc>
        <w:tc>
          <w:tcPr>
            <w:tcW w:w="9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15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36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  <w:vAlign w:val="center"/>
          </w:tcPr>
          <w:p>
            <w:pPr>
              <w:pStyle w:val="15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 w:ascii="Times New Roman" w:hAnsi="Times New Roman"/>
          <w:color w:val="FF0000"/>
          <w:sz w:val="24"/>
          <w:szCs w:val="24"/>
        </w:rPr>
      </w:r>
    </w:p>
    <w:p>
      <w:pPr>
        <w:sectPr>
          <w:headerReference w:type="default" r:id="rId6"/>
          <w:footerReference w:type="default" r:id="rId7"/>
          <w:footnotePr>
            <w:numFmt w:val="decimal"/>
          </w:footnotePr>
          <w:type w:val="nextPage"/>
          <w:pgSz w:orient="landscape" w:w="16838" w:h="11906"/>
          <w:pgMar w:left="1134" w:right="595" w:gutter="0" w:header="0" w:top="709" w:footer="709" w:bottom="765"/>
          <w:pgNumType w:fmt="decimal"/>
          <w:formProt w:val="false"/>
          <w:textDirection w:val="lrTb"/>
          <w:docGrid w:type="default" w:linePitch="360" w:charSpace="0"/>
        </w:sectPr>
        <w:pStyle w:val="Style110"/>
        <w:widowControl/>
        <w:ind w:firstLine="709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cs="Times New Roman"/>
          <w:color w:val="FF0000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 УСЛОВИЯ РЕАЛИЗАЦИИ ПРОГРАММЫ УЧЕБНОЙ ДИСЦИПЛИНЫ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pacing w:val="-2"/>
          <w:sz w:val="24"/>
          <w:szCs w:val="24"/>
        </w:rPr>
        <w:t>Учебная дисциплина реализуется в учебном кабинете социально-гуманитарных дисциплин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Оборудование учебного кабинета: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посадочные места по количеству обучающихся;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рабочее место преподавателя;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993" w:leader="none"/>
        </w:tabs>
        <w:spacing w:lineRule="auto" w:line="240" w:before="0"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методические материалы по дисциплине.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709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>
        <w:rPr>
          <w:rFonts w:cs="Times New Roman" w:ascii="Times New Roman" w:hAnsi="Times New Roman"/>
          <w:sz w:val="24"/>
          <w:szCs w:val="24"/>
          <w:lang w:val="en-US"/>
        </w:rPr>
        <w:t>Internet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>
        <w:rPr>
          <w:rFonts w:cs="Times New Roman" w:ascii="Times New Roman" w:hAnsi="Times New Roman"/>
          <w:bCs/>
          <w:iCs/>
          <w:sz w:val="24"/>
          <w:szCs w:val="24"/>
        </w:rPr>
        <w:t xml:space="preserve">оборудованием и техническими средствами обучения, а также </w:t>
      </w:r>
      <w:r>
        <w:rPr>
          <w:rFonts w:cs="Times New Roman" w:ascii="Times New Roman" w:hAnsi="Times New Roman"/>
          <w:color w:val="000000"/>
          <w:sz w:val="24"/>
          <w:szCs w:val="24"/>
        </w:rPr>
        <w:t>читальный зал, помещение для самостоятельной работы</w:t>
      </w:r>
      <w:r>
        <w:rPr>
          <w:rFonts w:cs="Times New Roman" w:ascii="Times New Roman" w:hAnsi="Times New Roman"/>
          <w:sz w:val="24"/>
          <w:szCs w:val="24"/>
        </w:rPr>
        <w:t xml:space="preserve"> с доступом к сети «Интернет» и ЭИОС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. Оснащенность: комплект учебной мебели, ноутбук, проекционное оборудование (мультимедийный проектор и экран).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Перечень лицензионного и свободно распространяемого программного обеспечения: </w:t>
      </w:r>
    </w:p>
    <w:p>
      <w:pPr>
        <w:pStyle w:val="Normal"/>
        <w:shd w:fill="FFFFFF" w:val="clear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Системное и прикладное ПО</w:t>
      </w:r>
    </w:p>
    <w:tbl>
      <w:tblPr>
        <w:tblW w:w="9823" w:type="dxa"/>
        <w:jc w:val="center"/>
        <w:tblInd w:w="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46"/>
        <w:gridCol w:w="6004"/>
        <w:gridCol w:w="3273"/>
      </w:tblGrid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4"/>
              </w:rPr>
              <w:t>п/п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"/>
              <w:shd w:fill="FFFFFF" w:val="clear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4"/>
              </w:rPr>
              <w:t>№</w:t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0"/>
                <w:szCs w:val="24"/>
              </w:rPr>
              <w:t>лицензии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 xml:space="preserve">Microsoft Office Professional Plus 2007 Russian Academic OPEN NL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Open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License 45411155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MSDN Platforms OLP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License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66224071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Microsoft Office Professional Plus 2010 Russian Academic OPEN NL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Open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License 60369058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 xml:space="preserve">Microsoft Office 2013 Russian Academic OLP NL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Open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License 65785999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6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Microsoft Windows 10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Microsoft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Open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License 65785999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8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Mathcad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Education 14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60-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a4-4c-72-c7-c1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12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Kaspersky Endpoint Security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PN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KL4863RAQFQ</w:t>
            </w:r>
          </w:p>
        </w:tc>
      </w:tr>
      <w:tr>
        <w:trPr>
          <w:trHeight w:val="23" w:hRule="atLeast"/>
          <w:cantSplit w:val="true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13</w:t>
            </w:r>
          </w:p>
        </w:tc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Контент-фильтр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SkyDNS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Ю-05109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Программное обеспечение по GNU General Public License (свободно распространяемое)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214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№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Перечень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1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Open</w:t>
            </w:r>
            <w:r>
              <w:rPr>
                <w:rFonts w:cs="Times New Roman"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Office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Мой Офис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cs="Times New Roman" w:ascii="Times New Roman" w:hAnsi="Times New Roman"/>
                <w:sz w:val="20"/>
                <w:szCs w:val="24"/>
              </w:rPr>
              <w:t>4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4"/>
                <w:lang w:val="en-US"/>
              </w:rPr>
              <w:t>MatchStudio</w:t>
            </w:r>
          </w:p>
        </w:tc>
      </w:tr>
    </w:tbl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 изучении дисциплины в формате электронного обучения с использованием ДОТ: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Программы для видеоконференций: </w:t>
      </w:r>
      <w:r>
        <w:rPr>
          <w:rFonts w:cs="Times New Roman" w:ascii="Times New Roman" w:hAnsi="Times New Roman"/>
          <w:sz w:val="24"/>
          <w:szCs w:val="24"/>
          <w:lang w:val="en-US"/>
        </w:rPr>
        <w:t>Zoom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Cloud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en-US"/>
        </w:rPr>
        <w:t>Meetings</w:t>
      </w:r>
      <w:r>
        <w:rPr>
          <w:rFonts w:cs="Times New Roman" w:ascii="Times New Roman" w:hAnsi="Times New Roman"/>
          <w:sz w:val="24"/>
          <w:szCs w:val="24"/>
        </w:rPr>
        <w:t>, Яндекс Телемост.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color w:val="000000"/>
          <w:sz w:val="24"/>
        </w:rPr>
        <w:t>Электронная платформа Moodle.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keepNext w:val="true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autoSpaceDE w:val="false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рекомендуемые для использования в образовательном процессе.</w:t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Перечень учебных изданий, дополнительной литературы Интернет-ресурсов, базы данных библиотечного фонда:</w:t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3.2.1 Основные источники: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1.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 : электронный // Лань : электронно-библиотечная система. — URL: https://e.lanbook.com/book/378458 — Режим доступа: для авториз. пользователей.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2. Прохорова, Н. Н. Основы финансовой грамотности : учебно-методическое пособие / Н. Н. Прохорова. — Брянск : Брянский ГАУ, 2021. — 24 с. — Текст : электронный // Лань : электронно-библиотечная система. — URL: https://e.lanbook.com/book/304454 — Режим доступа: для авториз. пользователей.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>
          <w:rFonts w:eastAsia="Calibri"/>
          <w:bCs/>
          <w:lang w:eastAsia="en-US"/>
        </w:rPr>
        <w:t xml:space="preserve">3. Шитов, В. Н., Основы финансовой грамотности : учебное пособие / В. Н. Шитов. — Москва : КноРус, 2025. — 250 с. — ISBN 978-5-406-14364-3. — URL: https://book.ru/book/957194. — Текст : электронный.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 Абдулгалимов, А. М., Основы финансовой грамотности: налоги и налогообложение : справочное издание / А. М. Абдулгалимов, И. А. Мохов. — Москва : КноРус, 2024. — 203 с. — ISBN 978-5-406-12003-3. — URL: https://book.ru/book/950348 — Текст : электронный.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>
          <w:b/>
          <w:bCs/>
        </w:rPr>
        <w:t>3.2.2 Дополнительные источники</w:t>
      </w:r>
      <w:r>
        <w:rPr/>
        <w:t>: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1.</w:t>
        <w:tab/>
        <w:t xml:space="preserve">Министерство финансов РФ [Электронный ресурс] – Режим доступа: https://minfin.gov.ru/.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2.</w:t>
        <w:tab/>
        <w:t>Образовательные проекты ПАКК [Электронный ресурс] – Режим доступа: www.edu.pacc.ru.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3.</w:t>
        <w:tab/>
        <w:t xml:space="preserve">Пенсионный фонд РФ [Электронный ресурс] – Режим доступа: www.pfr.gov.ru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4.</w:t>
        <w:tab/>
        <w:t xml:space="preserve">Персональный навигатор по финансам Моифинансы.рф [Электронный ресурс] – Режим доступа: https: https://моифинансы.рф/.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5.</w:t>
        <w:tab/>
        <w:t xml:space="preserve">Роспотребнадзор [Электронный ресурс] – Режим доступа: www.rospotrebnadzor.ru.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6.</w:t>
        <w:tab/>
        <w:t xml:space="preserve">Центр «Федеральный методический центр по финансовой грамотности системы общего и среднего профессионального образования» [Электронный ресурс] – Режим доступа: www.fmc.hse.ru.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7.</w:t>
        <w:tab/>
        <w:t xml:space="preserve">Центральный банк Российской Федерации [Электронный ресурс] – Режим доступа: http://www.cbr.ru.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8.</w:t>
        <w:tab/>
        <w:t xml:space="preserve">Федеральная налоговая служба [Электронный ресурс] – Режим доступа: www.nalog.ru.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9.</w:t>
        <w:tab/>
        <w:t xml:space="preserve">Федеральный методический центр по финансовой грамотности населения [Электронный ресурс] – Режим доступа: http://iurr.ranepa.ru/centry/finlit/. 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10.</w:t>
        <w:tab/>
        <w:t>Финансовая культура [Электронный ресурс] – Режим доступа: https://fincult.info/.</w:t>
      </w:r>
    </w:p>
    <w:p>
      <w:pPr>
        <w:pStyle w:val="Style22"/>
        <w:tabs>
          <w:tab w:val="clear" w:pos="708"/>
          <w:tab w:val="left" w:pos="1134" w:leader="none"/>
        </w:tabs>
        <w:spacing w:before="0" w:after="0"/>
        <w:ind w:firstLine="709"/>
        <w:jc w:val="both"/>
        <w:rPr/>
      </w:pPr>
      <w:r>
        <w:rPr/>
        <w:t>11.</w:t>
        <w:tab/>
        <w:t>Электронный учебник по финансовой грамотности. [Электронный ресурс] – Режим доступа: https://школа.вашифинансы.рф/.</w:t>
      </w:r>
    </w:p>
    <w:p>
      <w:pPr>
        <w:pStyle w:val="Normal"/>
        <w:spacing w:lineRule="auto" w:line="240" w:before="0" w:after="0"/>
        <w:ind w:left="709" w:hanging="0"/>
        <w:rPr>
          <w:rStyle w:val="Style20"/>
          <w:rFonts w:eastAsia="Calibri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3.2.3</w:t>
      </w:r>
      <w:r>
        <w:rPr>
          <w:rFonts w:cs="Times New Roman" w:ascii="Times New Roman" w:hAnsi="Times New Roman"/>
          <w:b/>
          <w:color w:val="FF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</w:t>
      </w:r>
      <w:r>
        <w:rPr>
          <w:rStyle w:val="Style20"/>
          <w:rFonts w:eastAsia="Calibri"/>
          <w:b/>
          <w:bCs/>
          <w:sz w:val="24"/>
          <w:szCs w:val="24"/>
        </w:rPr>
        <w:t>еречень нормативных правовых актов: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1.</w:t>
        <w:tab/>
        <w:t xml:space="preserve">Закон РФ от 27 ноября 1992 г. № 4015-1 «Об организации страхового дела в Российской Федерации».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</w:t>
        <w:tab/>
        <w:t xml:space="preserve">Федеральный закон от 2 декабря 1990 г. № 395-1 «О банках и банковской деятельности».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</w:t>
        <w:tab/>
        <w:t>Федеральный закон от 22 апреля 1996 г. № 39-ФЗ «О рынке ценных бумаг».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</w:t>
        <w:tab/>
        <w:t xml:space="preserve">Федеральный закон от 16 июля 1998 г. № 102-ФЗ «Об ипотеке (залоге недвижимости)».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</w:t>
        <w:tab/>
        <w:t xml:space="preserve">Федеральный закон от 7 августа 2001 г. № 115-ФЗ «О противодействии легализации (отмыванию) доходов, полученных преступным путем, и финансированию терроризма».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</w:t>
        <w:tab/>
        <w:t xml:space="preserve">Федеральный закон от 10 июля 2002 г. № 86-ФЗ «О Центральном банке Российской Федерации (Банке России)».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</w:t>
        <w:tab/>
        <w:t xml:space="preserve">Федеральный закон от 10 декабря 2003 г. № 173-ФЗ «О валютном регулировании и валютном контроле».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8.</w:t>
        <w:tab/>
        <w:t xml:space="preserve">Федеральный закон от 23 декабря 2003 г. № 177-ФЗ «О страховании вкладов в банках Российской Федерации».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</w:t>
        <w:tab/>
        <w:t>Федеральный закон от 30 декабря 2004 г. № 218-ФЗ «О кредитных историях».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</w:t>
        <w:tab/>
        <w:t xml:space="preserve">Федеральный закон от 27 июня 2011 г. № 161-ФЗ «О национальной платежной системе».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11.</w:t>
        <w:tab/>
        <w:t>Федеральный закон от 28 декабря 2013 г. № 400-ФЗ «О страховых пенсиях».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12.</w:t>
        <w:tab/>
        <w:t xml:space="preserve">Гражданский кодекс Российской Федерации. Ч. 2. Налоговый кодекс Российской Федерации. Ч. 2.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13.</w:t>
        <w:tab/>
        <w:t xml:space="preserve">Положение Банка России от 24 декабря 2004 г. № 266-П «Об эмиссии платежных карт и об операциях, совершаемых с их использованием».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14.</w:t>
        <w:tab/>
        <w:t>Положение Банка России от 29 июня 2021 г. № 762-П «О правилах осуществления перевода денежных средств».</w:t>
      </w:r>
    </w:p>
    <w:p>
      <w:pPr>
        <w:pStyle w:val="Style21"/>
        <w:widowControl w:val="false"/>
        <w:tabs>
          <w:tab w:val="clear" w:pos="708"/>
          <w:tab w:val="left" w:pos="709" w:leader="none"/>
          <w:tab w:val="left" w:pos="851" w:leader="none"/>
        </w:tabs>
        <w:spacing w:lineRule="auto" w:line="240" w:before="0" w:after="0"/>
        <w:ind w:left="0" w:firstLine="709"/>
        <w:contextualSpacing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3.2.4 Перечень информационных справочных систем: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КонсультантПплюс : справочно-поисковая  система : официальный сайт. – URL  : </w:t>
      </w:r>
      <w:hyperlink r:id="rId8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https://www.consultant.ru/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- Текст : электронный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>Гарант : информационно - правовой портал. – URL : https://www.garant.ru/ . –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Электронная библиотека Учебно-методического центра по образованию на железнодорожном транспорте : официальный сайт. – URL : </w:t>
      </w:r>
      <w:hyperlink r:id="rId9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https://umczdt.ru/books/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Лань : электронная библиотечная система. – URL : </w:t>
      </w:r>
      <w:hyperlink r:id="rId10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https://e.lanbook.com/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авториз. пользователей. - Текст : электронный.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1134" w:leader="none"/>
        </w:tabs>
        <w:spacing w:lineRule="auto" w:line="240" w:before="0" w:after="0"/>
        <w:ind w:left="0" w:firstLine="709"/>
        <w:jc w:val="both"/>
        <w:rPr/>
      </w:pPr>
      <w:r>
        <w:rPr>
          <w:rFonts w:cs="Times New Roman" w:ascii="Times New Roman" w:hAnsi="Times New Roman"/>
          <w:w w:val="104"/>
          <w:sz w:val="24"/>
          <w:szCs w:val="24"/>
        </w:rPr>
        <w:t xml:space="preserve">BOOK.ru: электронно-библиотечная система : сайт / КНОРУС : издательство учебной литературы. – URL : </w:t>
      </w:r>
      <w:hyperlink r:id="rId11">
        <w:r>
          <w:rPr>
            <w:rStyle w:val="InternetLink"/>
            <w:rFonts w:cs="Times New Roman" w:ascii="Times New Roman" w:hAnsi="Times New Roman"/>
            <w:w w:val="104"/>
            <w:sz w:val="24"/>
            <w:szCs w:val="24"/>
          </w:rPr>
          <w:t>https://book.ru/</w:t>
        </w:r>
      </w:hyperlink>
      <w:r>
        <w:rPr>
          <w:rFonts w:cs="Times New Roman" w:ascii="Times New Roman" w:hAnsi="Times New Roman"/>
          <w:w w:val="104"/>
          <w:sz w:val="24"/>
          <w:szCs w:val="24"/>
        </w:rPr>
        <w:t>. – Режим доступа: для авториз. пользователей  - Текст : электронный.</w:t>
      </w:r>
      <w:r>
        <w:br w:type="page"/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4. КОНТРОЛЬ И ОЦЕНКА РЕЗУЛЬТАТОВ ОСВОЕНИЯ УЧЕБНОЙ ДИСЦИПЛИНЫ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hd w:fill="FFFFFF" w:val="clear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cs="Times New Roman" w:ascii="Times New Roman" w:hAnsi="Times New Roman"/>
          <w:sz w:val="24"/>
          <w:szCs w:val="24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 обучающимися индивидуальных заданий.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Промежуточная аттестация в форме </w:t>
      </w:r>
      <w:r>
        <w:rPr>
          <w:rFonts w:cs="Times New Roman" w:ascii="Times New Roman" w:hAnsi="Times New Roman"/>
          <w:i/>
          <w:sz w:val="24"/>
          <w:szCs w:val="24"/>
        </w:rPr>
        <w:t>дифференцированного зачета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889" w:type="dxa"/>
        <w:jc w:val="left"/>
        <w:tblInd w:w="-1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3"/>
        <w:gridCol w:w="3686"/>
        <w:gridCol w:w="2410"/>
      </w:tblGrid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Показатели оценки результатов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Форма и методы контроля и оценки результатов обучения</w:t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З1 -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napToGrid w:val="fals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Устный опрос;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результатов практической работы;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результатов тестирования;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Самооценка своего знания, осуществляемая обучающимися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Экспертное наблюдение за ходом выполнения учебных заданий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Промежуточная аттестация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before="0" w:after="20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960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З2 -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З3 -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tLeast" w:line="1" w:before="0" w:after="200"/>
              <w:rPr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З4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З5 - формат представления результатов поиска информации,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З6 -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З7 -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З8 - 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ориентируется в нормативно-правовой базе, 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З9 -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З10 -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З11 - понятие иностранной валюты и валютного курса;</w:t>
            </w:r>
          </w:p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З12 - структуру личных доходов и расходов, правила составления личного и семейного бюджета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- демонстрирует понимание правил составления личного и семейного бюджета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З13 -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З14 -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З15 -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демонстрирует представление  о направлених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З16 -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jc w:val="both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З17 - принципы организации проектной деятельности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keepNext w:val="true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79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:</w:t>
            </w:r>
          </w:p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У1- определять задачу в профессиональном и/или социальном контексте;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результатов устного опроса;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результатов практической работы;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результатов тестирования;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Самооценка своего умения, осуществляемая обучающимися.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Экспертное наблюдение за ходом выполнения учебных заданий</w:t>
            </w:r>
          </w:p>
          <w:p>
            <w:pPr>
              <w:pStyle w:val="Normal"/>
              <w:spacing w:lineRule="auto" w:line="24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Промежуточная аттестация</w:t>
            </w:r>
          </w:p>
          <w:p>
            <w:pPr>
              <w:pStyle w:val="Normal"/>
              <w:spacing w:before="0" w:after="20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762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У2 - выявлять и отбирать информацию, необходимую для решения задачи;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У3 - составлять план действий;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осуществляет планирование действий для решения задачи;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У4 - определять необходимые ресурсы;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определяет ресурсы для решения задачи;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36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У5 - реализовывать составленный план;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выполняет составленный план;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У6- определять задачи для сбора информации;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определяет задачи для сбора информации;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63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У7 - планировать процесс поиска информации и осуществлять выбор необходимых источников;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планирует процесс поиска информации и осуществлять выбор необходимых источников;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У8 -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У9 -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У10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 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008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У11 -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У12 - учитывать инфляцию при решении финансовых задач в профессии, личном планировании;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У13 - производить расчеты по валютно-обменным операциям;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производит расчеты по валютно-обменным операциям;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72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tabs>
                <w:tab w:val="clear" w:pos="708"/>
                <w:tab w:val="left" w:pos="1219" w:leader="none"/>
              </w:tabs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У14-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8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У15 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У16 - выявлять сильные и слабые стороны бизнес-идеи;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анализирует бизнес-идею;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У17 -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У18 -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421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У19 </w:t>
            </w: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 xml:space="preserve">-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работать в коллективе и команде;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осуществляет эффективные коммуникации в коллективе и команде;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1494" w:hRule="atLeast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У20 -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410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napToGrid w:val="false"/>
              <w:spacing w:before="0" w:after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zh-CN"/>
        </w:rPr>
      </w:pPr>
      <w:r>
        <w:br w:type="page"/>
      </w:r>
      <w:r>
        <w:rPr>
          <w:rFonts w:eastAsia="Times New Roman" w:cs="Times New Roman" w:ascii="Times New Roman" w:hAnsi="Times New Roman"/>
          <w:b/>
          <w:sz w:val="24"/>
          <w:szCs w:val="24"/>
          <w:lang w:eastAsia="zh-CN"/>
        </w:rPr>
      </w:r>
    </w:p>
    <w:p>
      <w:pPr>
        <w:pStyle w:val="21"/>
        <w:widowControl w:val="false"/>
        <w:spacing w:lineRule="auto" w:line="240" w:before="0" w:after="0"/>
        <w:jc w:val="center"/>
        <w:rPr>
          <w:b/>
          <w:b/>
        </w:rPr>
      </w:pPr>
      <w:r>
        <w:rPr>
          <w:b/>
        </w:rPr>
        <w:t>5. ПЕРЕЧЕНЬ ИСПОЛЬЗУЕМЫХ МЕТОДОВ ОБУЧЕНИЯ</w:t>
      </w:r>
    </w:p>
    <w:p>
      <w:pPr>
        <w:pStyle w:val="21"/>
        <w:widowControl w:val="false"/>
        <w:spacing w:lineRule="auto" w:line="240" w:before="0" w:after="0"/>
        <w:jc w:val="both"/>
        <w:rPr>
          <w:b/>
          <w:b/>
          <w:shd w:fill="FFFF00" w:val="clear"/>
        </w:rPr>
      </w:pPr>
      <w:r>
        <w:rPr>
          <w:b/>
          <w:shd w:fill="FFFF00" w:val="clear"/>
        </w:rPr>
      </w:r>
    </w:p>
    <w:p>
      <w:pPr>
        <w:pStyle w:val="Style21"/>
        <w:numPr>
          <w:ilvl w:val="1"/>
          <w:numId w:val="11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Пассивные: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лекции традиционные без применения мультимедийных средств и без раздаточного материала;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демонстрация учебных фильмов;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рассказ;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семинары, преимущественно в виде обсуждения докладов студентов по тем или иным вопросам;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тесты;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чтение и опрос.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(взаимодействие преподавателя как субъекта с обучающимся как объектом познавательной деятельности).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Style21"/>
        <w:numPr>
          <w:ilvl w:val="1"/>
          <w:numId w:val="9"/>
        </w:numPr>
        <w:suppressAutoHyphens w:val="true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Активные и интерактивные: 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активные и интерактивные лекции;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работа в группах;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учебная дискуссия;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деловые и ролевые игры;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игровые упражнения;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творческие задания;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круглые столы (конференции) с использованием средств мультимедиа;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решение проблемных задач;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анализ конкретных ситуаций;</w:t>
      </w:r>
    </w:p>
    <w:p>
      <w:pPr>
        <w:pStyle w:val="Normal"/>
        <w:spacing w:lineRule="auto" w:line="240" w:before="0" w:after="0"/>
        <w:ind w:left="42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метод модульного обучения;</w:t>
      </w:r>
    </w:p>
    <w:p>
      <w:pPr>
        <w:pStyle w:val="Normal"/>
        <w:spacing w:lineRule="auto" w:line="240" w:before="0" w:after="0"/>
        <w:ind w:left="420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- практический эксперимент;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</w:t>
      </w:r>
      <w:r>
        <w:rPr>
          <w:rFonts w:cs="Times New Roman" w:ascii="Times New Roman" w:hAnsi="Times New Roman"/>
          <w:i/>
          <w:sz w:val="24"/>
          <w:szCs w:val="24"/>
        </w:rPr>
        <w:t>взаимодействие преподавателя как субъекта с обучающимся как субъектом познавательной деятельности).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12"/>
      <w:footerReference w:type="default" r:id="rId13"/>
      <w:footnotePr>
        <w:numFmt w:val="decimal"/>
      </w:footnotePr>
      <w:type w:val="nextPage"/>
      <w:pgSz w:w="11906" w:h="16838"/>
      <w:pgMar w:left="1418" w:right="707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cc"/>
    <w:family w:val="swiss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Georgia">
    <w:charset w:val="cc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Lucida Sans Unicode">
    <w:charset w:val="cc"/>
    <w:family w:val="swiss"/>
    <w:pitch w:val="variable"/>
  </w:font>
  <w:font w:name="Courier New">
    <w:charset w:val="cc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6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503.8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6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15</w:t>
    </w:r>
    <w:r>
      <w:rPr>
        <w:rFonts w:cs="Times New Roman" w:ascii="Times New Roman" w:hAnsi="Times New Roman"/>
      </w:rPr>
      <w:fldChar w:fldCharType="end"/>
    </w:r>
  </w:p>
  <w:p>
    <w:pPr>
      <w:pStyle w:val="Foo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1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27635" cy="146685"/>
              <wp:effectExtent l="0" t="0" r="0" b="0"/>
              <wp:wrapSquare wrapText="largest"/>
              <wp:docPr id="2" name="Fram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t>22</w:t>
                          </w:r>
                          <w:r>
                            <w:rPr>
                              <w:rStyle w:val="PageNumber"/>
                              <w:rFonts w:cs="Times New Roman" w:ascii="Times New Roman" w:hAns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0.05pt;height:11.55pt;mso-wrap-distance-left:0pt;mso-wrap-distance-right:0pt;mso-wrap-distance-top:0pt;mso-wrap-distance-bottom:0pt;margin-top:0.05pt;mso-position-vertical-relative:text;margin-left:479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Footer"/>
                      <w:rPr>
                        <w:rStyle w:val="PageNumber"/>
                        <w:rFonts w:ascii="Times New Roman" w:hAnsi="Times New Roman" w:cs="Times New Roman"/>
                      </w:rPr>
                    </w:pP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begin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instrText xml:space="preserve"> PAGE </w:instrTex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separate"/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t>22</w:t>
                    </w:r>
                    <w:r>
                      <w:rPr>
                        <w:rStyle w:val="PageNumber"/>
                        <w:rFonts w:cs="Times New Roman" w:ascii="Times New Roman" w:hAnsi="Times New Roman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jc w:val="both"/>
        <w:rPr/>
      </w:pPr>
      <w:r>
        <w:rPr>
          <w:rStyle w:val="FootnoteCharacters"/>
        </w:rPr>
        <w:footnoteRef/>
      </w:r>
      <w:r>
        <w:rPr/>
        <w:t xml:space="preserve"> </w:t>
      </w:r>
      <w:r>
        <w:rPr>
          <w:sz w:val="18"/>
          <w:szCs w:val="18"/>
        </w:rPr>
        <w:t>Рабочая программа подлежит ежегодной актуализации в составе основной профессиональной образовательной программы-программы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tabs>
        <w:tab w:val="clear" w:pos="708"/>
        <w:tab w:val="left" w:pos="9216" w:leader="none"/>
      </w:tabs>
      <w:rPr/>
    </w:pPr>
    <w:r>
      <w:rPr/>
      <w:tab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2771" w:hanging="360"/>
      </w:pPr>
      <w:rPr>
        <w:rFonts w:ascii="Symbol" w:hAnsi="Symbol" w:cs="Symbol" w:hint="default"/>
      </w:rPr>
    </w:lvl>
  </w:abstractNum>
  <w:abstractNum w:abstractNumId="8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943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6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4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52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8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7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704" w:hanging="2160"/>
      </w:pPr>
    </w:lvl>
  </w:abstractNum>
  <w:abstractNum w:abstractNumId="10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9"/>
    <w:lvlOverride w:ilvl="0"/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WW8Num1z0">
    <w:name w:val="WW8Num1z0"/>
    <w:qFormat/>
    <w:rPr>
      <w:b/>
    </w:rPr>
  </w:style>
  <w:style w:type="character" w:styleId="WW8Num2z0">
    <w:name w:val="WW8Num2z0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2z1">
    <w:name w:val="WW8Num2z1"/>
    <w:qFormat/>
    <w:rPr>
      <w:lang w:val="ru-RU" w:bidi="ar-SA"/>
    </w:rPr>
  </w:style>
  <w:style w:type="character" w:styleId="WW8Num3z0">
    <w:name w:val="WW8Num3z0"/>
    <w:qFormat/>
    <w:rPr>
      <w:rFonts w:ascii="Calibri" w:hAnsi="Calibri" w:cs="Calibri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/>
  </w:style>
  <w:style w:type="character" w:styleId="WW8Num6z0">
    <w:name w:val="WW8Num6z0"/>
    <w:qFormat/>
    <w:rPr>
      <w:rFonts w:ascii="Symbol" w:hAnsi="Symbol" w:cs="Symbol"/>
      <w:w w:val="100"/>
      <w:sz w:val="28"/>
      <w:szCs w:val="28"/>
      <w:lang w:val="ru-RU" w:bidi="ar-SA"/>
    </w:rPr>
  </w:style>
  <w:style w:type="character" w:styleId="WW8Num6z1">
    <w:name w:val="WW8Num6z1"/>
    <w:qFormat/>
    <w:rPr>
      <w:lang w:val="ru-RU" w:bidi="ar-SA"/>
    </w:rPr>
  </w:style>
  <w:style w:type="character" w:styleId="WW8Num7z0">
    <w:name w:val="WW8Num7z0"/>
    <w:qFormat/>
    <w:rPr>
      <w:rFonts w:ascii="Times New Roman" w:hAnsi="Times New Roman" w:eastAsia="Times New Roman" w:cs="Times New Roman"/>
      <w:w w:val="100"/>
      <w:sz w:val="28"/>
      <w:szCs w:val="28"/>
      <w:lang w:val="ru-RU" w:bidi="ar-SA"/>
    </w:rPr>
  </w:style>
  <w:style w:type="character" w:styleId="WW8Num7z1">
    <w:name w:val="WW8Num7z1"/>
    <w:qFormat/>
    <w:rPr>
      <w:lang w:val="ru-RU" w:bidi="ar-SA"/>
    </w:rPr>
  </w:style>
  <w:style w:type="character" w:styleId="WW8Num9z0">
    <w:name w:val="WW8Num9z0"/>
    <w:qFormat/>
    <w:rPr>
      <w:lang w:val="ru-RU" w:bidi="ar-SA"/>
    </w:rPr>
  </w:style>
  <w:style w:type="character" w:styleId="WW8Num9z1">
    <w:name w:val="WW8Num9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10z0">
    <w:name w:val="WW8Num10z0"/>
    <w:qFormat/>
    <w:rPr>
      <w:rFonts w:ascii="Calibri" w:hAnsi="Calibri" w:cs="Calibri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cs="Times New Roman"/>
    </w:rPr>
  </w:style>
  <w:style w:type="character" w:styleId="WW8Num13z0">
    <w:name w:val="WW8Num13z0"/>
    <w:qFormat/>
    <w:rPr>
      <w:rFonts w:ascii="Calibri" w:hAnsi="Calibri" w:cs="Calibri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/>
  </w:style>
  <w:style w:type="character" w:styleId="WW8Num15z0">
    <w:name w:val="WW8Num15z0"/>
    <w:qFormat/>
    <w:rPr>
      <w:lang w:val="ru-RU" w:bidi="ar-SA"/>
    </w:rPr>
  </w:style>
  <w:style w:type="character" w:styleId="WW8Num15z1">
    <w:name w:val="WW8Num15z1"/>
    <w:qFormat/>
    <w:rPr>
      <w:rFonts w:ascii="Times New Roman" w:hAnsi="Times New Roman" w:eastAsia="Times New Roman" w:cs="Times New Roman"/>
      <w:w w:val="99"/>
      <w:sz w:val="26"/>
      <w:szCs w:val="26"/>
      <w:lang w:val="ru-RU" w:bidi="ar-SA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b w:val="false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color w:val="000000"/>
    </w:rPr>
  </w:style>
  <w:style w:type="character" w:styleId="WW8Num20z0">
    <w:name w:val="WW8Num20z0"/>
    <w:qFormat/>
    <w:rPr>
      <w:color w:val="333333"/>
    </w:rPr>
  </w:style>
  <w:style w:type="character" w:styleId="WW8Num22z0">
    <w:name w:val="WW8Num22z0"/>
    <w:qFormat/>
    <w:rPr>
      <w:b w:val="false"/>
    </w:rPr>
  </w:style>
  <w:style w:type="character" w:styleId="WW8Num23z0">
    <w:name w:val="WW8Num23z0"/>
    <w:qFormat/>
    <w:rPr>
      <w:rFonts w:ascii="Calibri" w:hAnsi="Calibri" w:cs="Calibri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7z0">
    <w:name w:val="WW8Num27z0"/>
    <w:qFormat/>
    <w:rPr/>
  </w:style>
  <w:style w:type="character" w:styleId="WW8Num28z0">
    <w:name w:val="WW8Num28z0"/>
    <w:qFormat/>
    <w:rPr>
      <w:b w:val="false"/>
    </w:rPr>
  </w:style>
  <w:style w:type="character" w:styleId="WW8Num29z0">
    <w:name w:val="WW8Num29z0"/>
    <w:qFormat/>
    <w:rPr/>
  </w:style>
  <w:style w:type="character" w:styleId="Style13">
    <w:name w:val="Основной шрифт абзаца"/>
    <w:qFormat/>
    <w:rPr/>
  </w:style>
  <w:style w:type="character" w:styleId="1">
    <w:name w:val="Заголовок 1 Знак"/>
    <w:basedOn w:val="Style13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InternetLink">
    <w:name w:val="Hyperlink"/>
    <w:basedOn w:val="Style13"/>
    <w:rPr>
      <w:color w:val="0000FF"/>
      <w:u w:val="single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2Georgia9pt">
    <w:name w:val="Основной текст (2) + Georgia;9 pt;Полужирный"/>
    <w:basedOn w:val="Style13"/>
    <w:qFormat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lang w:val="ru-RU" w:bidi="ru-RU"/>
    </w:rPr>
  </w:style>
  <w:style w:type="character" w:styleId="Style14">
    <w:name w:val="Основной текст Знак"/>
    <w:basedOn w:val="Style13"/>
    <w:qFormat/>
    <w:rPr/>
  </w:style>
  <w:style w:type="character" w:styleId="11">
    <w:name w:val="Основной текст Знак1"/>
    <w:basedOn w:val="Style13"/>
    <w:qFormat/>
    <w:rPr>
      <w:rFonts w:ascii="Times New Roman" w:hAnsi="Times New Roman" w:eastAsia="Calibri" w:cs="Times New Roman"/>
      <w:sz w:val="24"/>
      <w:szCs w:val="24"/>
    </w:rPr>
  </w:style>
  <w:style w:type="character" w:styleId="Style15">
    <w:name w:val="Нижний колонтитул Знак"/>
    <w:basedOn w:val="Style13"/>
    <w:qFormat/>
    <w:rPr/>
  </w:style>
  <w:style w:type="character" w:styleId="12">
    <w:name w:val="Нижний колонтитул Знак1"/>
    <w:basedOn w:val="Style13"/>
    <w:qFormat/>
    <w:rPr>
      <w:rFonts w:ascii="Cambria" w:hAnsi="Cambria" w:eastAsia="Calibri" w:cs="Times New Roman"/>
      <w:sz w:val="20"/>
      <w:szCs w:val="20"/>
    </w:rPr>
  </w:style>
  <w:style w:type="character" w:styleId="Style16">
    <w:name w:val="Текст сноски Знак"/>
    <w:basedOn w:val="Style13"/>
    <w:qFormat/>
    <w:rPr>
      <w:sz w:val="20"/>
      <w:szCs w:val="20"/>
    </w:rPr>
  </w:style>
  <w:style w:type="character" w:styleId="13">
    <w:name w:val="Текст сноски Знак1"/>
    <w:basedOn w:val="Style13"/>
    <w:qFormat/>
    <w:rPr>
      <w:rFonts w:ascii="Times New Roman" w:hAnsi="Times New Roman" w:eastAsia="Calibri" w:cs="Times New Roman"/>
      <w:sz w:val="20"/>
      <w:szCs w:val="20"/>
    </w:rPr>
  </w:style>
  <w:style w:type="character" w:styleId="Style17">
    <w:name w:val="Верхний колонтитул Знак"/>
    <w:basedOn w:val="Style13"/>
    <w:qFormat/>
    <w:rPr/>
  </w:style>
  <w:style w:type="character" w:styleId="PageNumber">
    <w:name w:val="Page Number"/>
    <w:basedOn w:val="Style13"/>
    <w:rPr/>
  </w:style>
  <w:style w:type="character" w:styleId="Style18">
    <w:name w:val="Текст выноски Знак"/>
    <w:basedOn w:val="Style13"/>
    <w:qFormat/>
    <w:rPr>
      <w:rFonts w:ascii="Tahoma" w:hAnsi="Tahoma" w:cs="Tahoma"/>
      <w:sz w:val="16"/>
      <w:szCs w:val="16"/>
    </w:rPr>
  </w:style>
  <w:style w:type="character" w:styleId="Style19">
    <w:name w:val="Абзац списка Знак"/>
    <w:qFormat/>
    <w:rPr/>
  </w:style>
  <w:style w:type="character" w:styleId="14">
    <w:name w:val="Основной текст1"/>
    <w:qFormat/>
    <w:rPr>
      <w:color w:val="000000"/>
      <w:spacing w:val="0"/>
      <w:w w:val="100"/>
      <w:position w:val="0"/>
      <w:sz w:val="27"/>
      <w:sz w:val="27"/>
      <w:szCs w:val="27"/>
      <w:vertAlign w:val="baseline"/>
      <w:lang w:val="ru-RU" w:bidi="ar-SA"/>
    </w:rPr>
  </w:style>
  <w:style w:type="character" w:styleId="2">
    <w:name w:val="Заголовок 2 Знак"/>
    <w:qFormat/>
    <w:rPr>
      <w:rFonts w:ascii="Arial" w:hAnsi="Arial" w:cs="Times New Roman"/>
      <w:b/>
      <w:bCs/>
      <w:i/>
      <w:iCs/>
      <w:w w:val="100"/>
      <w:position w:val="0"/>
      <w:sz w:val="28"/>
      <w:sz w:val="28"/>
      <w:szCs w:val="28"/>
      <w:vertAlign w:val="baseline"/>
      <w:em w:val="none"/>
    </w:rPr>
  </w:style>
  <w:style w:type="character" w:styleId="Style20">
    <w:name w:val="Основной текст_"/>
    <w:basedOn w:val="Style13"/>
    <w:qFormat/>
    <w:rPr>
      <w:rFonts w:ascii="Times New Roman" w:hAnsi="Times New Roman" w:eastAsia="Times New Roman" w:cs="Times New Roman"/>
      <w:sz w:val="19"/>
      <w:szCs w:val="19"/>
    </w:rPr>
  </w:style>
  <w:style w:type="character" w:styleId="FootnoteAnchor">
    <w:name w:val="Footnote Reference"/>
    <w:rPr>
      <w:vertAlign w:val="superscript"/>
    </w:rPr>
  </w:style>
  <w:style w:type="character" w:styleId="EndnoteAnchor">
    <w:name w:val="Endnote Reference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15"/>
    <w:pPr>
      <w:spacing w:lineRule="auto" w:line="240" w:before="0" w:after="120"/>
    </w:pPr>
    <w:rPr>
      <w:rFonts w:ascii="Times New Roman" w:hAnsi="Times New Roman" w:cs="Times New Roman"/>
      <w:sz w:val="24"/>
      <w:szCs w:val="24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/>
  </w:style>
  <w:style w:type="paragraph" w:styleId="15">
    <w:name w:val="Обычный1"/>
    <w:qFormat/>
    <w:pPr>
      <w:widowControl/>
      <w:suppressAutoHyphens w:val="true"/>
      <w:bidi w:val="0"/>
      <w:spacing w:lineRule="auto" w:line="244" w:before="0" w:after="200"/>
      <w:textAlignment w:val="baseline"/>
    </w:pPr>
    <w:rPr>
      <w:rFonts w:ascii="Cambria" w:hAnsi="Cambria" w:eastAsia="Calibri" w:cs="Cambria"/>
      <w:color w:val="auto"/>
      <w:sz w:val="22"/>
      <w:szCs w:val="22"/>
      <w:lang w:val="ru-RU" w:bidi="ar-SA" w:eastAsia="zh-CN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15"/>
    <w:pPr>
      <w:spacing w:lineRule="auto" w:line="240" w:before="0" w:after="0"/>
    </w:pPr>
    <w:rPr>
      <w:sz w:val="20"/>
      <w:szCs w:val="20"/>
    </w:rPr>
  </w:style>
  <w:style w:type="paragraph" w:styleId="Style22">
    <w:name w:val="Обычный (веб)"/>
    <w:basedOn w:val="15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Footnote">
    <w:name w:val="Footnote Text"/>
    <w:basedOn w:val="15"/>
    <w:pPr>
      <w:spacing w:lineRule="auto" w:line="240" w:before="0" w:after="0"/>
    </w:pPr>
    <w:rPr>
      <w:rFonts w:ascii="Times New Roman" w:hAnsi="Times New Roman" w:cs="Times New Roman"/>
      <w:sz w:val="20"/>
      <w:szCs w:val="20"/>
    </w:rPr>
  </w:style>
  <w:style w:type="paragraph" w:styleId="16">
    <w:name w:val="Абзац списка1"/>
    <w:basedOn w:val="Normal"/>
    <w:qFormat/>
    <w:pPr>
      <w:ind w:left="720" w:hanging="0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qFormat/>
    <w:pPr>
      <w:widowControl w:val="false"/>
      <w:autoSpaceDE w:val="false"/>
      <w:spacing w:lineRule="auto" w:line="240" w:before="0" w:after="0"/>
    </w:pPr>
    <w:rPr>
      <w:rFonts w:ascii="Lucida Sans Unicode" w:hAnsi="Lucida Sans Unicode" w:eastAsia="Lucida Sans Unicode" w:cs="Lucida Sans Unicode"/>
    </w:rPr>
  </w:style>
  <w:style w:type="paragraph" w:styleId="Header">
    <w:name w:val="Header"/>
    <w:basedOn w:val="Normal"/>
    <w:pPr>
      <w:spacing w:lineRule="auto" w:line="240" w:before="0" w:after="0"/>
    </w:pPr>
    <w:rPr/>
  </w:style>
  <w:style w:type="paragraph" w:styleId="Style110">
    <w:name w:val="Style1"/>
    <w:basedOn w:val="Normal"/>
    <w:qFormat/>
    <w:pPr>
      <w:widowControl w:val="false"/>
      <w:suppressAutoHyphens w:val="true"/>
      <w:autoSpaceDE w:val="fals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21">
    <w:name w:val="Основной текст 21"/>
    <w:basedOn w:val="Normal"/>
    <w:qFormat/>
    <w:pPr>
      <w:suppressAutoHyphens w:val="true"/>
      <w:spacing w:lineRule="auto" w:line="480" w:before="0" w:after="120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24">
    <w:name w:val="......."/>
    <w:basedOn w:val="Normal"/>
    <w:next w:val="Normal"/>
    <w:qFormat/>
    <w:pPr>
      <w:autoSpaceDE w:val="false"/>
      <w:spacing w:lineRule="auto" w:line="240" w:before="0" w:after="0"/>
    </w:pPr>
    <w:rPr>
      <w:rFonts w:ascii="Times New Roman" w:hAnsi="Times New Roman" w:eastAsia="Calibri" w:cs="Times New Roman"/>
      <w:sz w:val="24"/>
      <w:szCs w:val="24"/>
    </w:rPr>
  </w:style>
  <w:style w:type="paragraph" w:styleId="ConsPlusNormal">
    <w:name w:val="ConsPlus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WWFootnote">
    <w:name w:val="WW-Footnote"/>
    <w:basedOn w:val="Normal"/>
    <w:qFormat/>
    <w:pPr>
      <w:spacing w:lineRule="auto" w:line="240" w:before="0" w:after="0"/>
      <w:ind w:left="-1" w:hanging="1"/>
      <w:outlineLvl w:val="0"/>
    </w:pPr>
    <w:rPr>
      <w:rFonts w:eastAsia="Times New Roman"/>
      <w:color w:val="000000"/>
      <w:sz w:val="20"/>
      <w:szCs w:val="20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hyperlink" Target="https://www.consultant.ru/" TargetMode="External"/><Relationship Id="rId9" Type="http://schemas.openxmlformats.org/officeDocument/2006/relationships/hyperlink" Target="https://umczdt.ru/books/" TargetMode="External"/><Relationship Id="rId10" Type="http://schemas.openxmlformats.org/officeDocument/2006/relationships/hyperlink" Target="https://e.lanbook.com/" TargetMode="External"/><Relationship Id="rId11" Type="http://schemas.openxmlformats.org/officeDocument/2006/relationships/hyperlink" Target="https://book.ru/" TargetMode="External"/><Relationship Id="rId12" Type="http://schemas.openxmlformats.org/officeDocument/2006/relationships/header" Target="header4.xml"/><Relationship Id="rId13" Type="http://schemas.openxmlformats.org/officeDocument/2006/relationships/footer" Target="footer4.xml"/><Relationship Id="rId14" Type="http://schemas.openxmlformats.org/officeDocument/2006/relationships/footnotes" Target="footnotes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Application>LibreOffice/7.4.7.2$Linux_X86_64 LibreOffice_project/40$Build-2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2024-12-23T14:34:00Z</dcterms:created>
  <dc:creator>yu.p.telegina</dc:creator>
  <dc:description/>
  <cp:keywords/>
  <dc:language>en-US</dc:language>
  <cp:lastModifiedBy>Ольга Трапицына</cp:lastModifiedBy>
  <cp:lastPrinted>2024-12-23T13:20:00Z</cp:lastPrinted>
  <dcterms:modified xsi:type="dcterms:W3CDTF">2025-05-14T17:41:00Z</dcterms:modified>
  <cp:revision>50</cp:revision>
  <dc:subject/>
  <dc:title/>
</cp:coreProperties>
</file>