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9320"/>
      </w:tblGrid>
      <w:tr w:rsidR="001F4B2C" w:rsidTr="009D7ABC">
        <w:tc>
          <w:tcPr>
            <w:tcW w:w="817" w:type="dxa"/>
          </w:tcPr>
          <w:p w:rsidR="001F4B2C" w:rsidRPr="004878B2" w:rsidRDefault="001F4B2C" w:rsidP="009D7AB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9D7ABC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1C1B9A">
      <w:pPr>
        <w:shd w:val="clear" w:color="auto" w:fill="FFFFFF"/>
        <w:tabs>
          <w:tab w:val="left" w:pos="1066"/>
        </w:tabs>
        <w:spacing w:before="5" w:line="480" w:lineRule="exact"/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334C1D">
      <w:pPr>
        <w:jc w:val="both"/>
        <w:rPr>
          <w:sz w:val="28"/>
          <w:szCs w:val="28"/>
        </w:rPr>
      </w:pPr>
    </w:p>
    <w:p w:rsidR="009E4B2C" w:rsidRPr="009E4B2C" w:rsidRDefault="009E4B2C" w:rsidP="009E4B2C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lastRenderedPageBreak/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>1.3.3</w:t>
      </w:r>
      <w:proofErr w:type="gramStart"/>
      <w:r w:rsidRPr="00056957">
        <w:rPr>
          <w:b/>
          <w:sz w:val="28"/>
          <w:szCs w:val="28"/>
        </w:rPr>
        <w:t xml:space="preserve"> </w:t>
      </w:r>
      <w:r w:rsidRPr="00056957">
        <w:rPr>
          <w:sz w:val="28"/>
          <w:szCs w:val="28"/>
        </w:rPr>
        <w:t>В</w:t>
      </w:r>
      <w:proofErr w:type="gramEnd"/>
      <w:r w:rsidRPr="00056957">
        <w:rPr>
          <w:sz w:val="28"/>
          <w:szCs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Виды, перечень и содержание внеаудиторной самостоятельной работы </w:t>
      </w:r>
      <w:r w:rsidRPr="00B17074">
        <w:rPr>
          <w:sz w:val="28"/>
          <w:szCs w:val="28"/>
        </w:rPr>
        <w:lastRenderedPageBreak/>
        <w:t>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514FD2">
        <w:rPr>
          <w:sz w:val="28"/>
          <w:szCs w:val="28"/>
        </w:rPr>
        <w:t>учебно</w:t>
      </w:r>
      <w:proofErr w:type="spellEnd"/>
      <w:r w:rsidRPr="00514FD2">
        <w:rPr>
          <w:sz w:val="28"/>
          <w:szCs w:val="28"/>
        </w:rPr>
        <w:t xml:space="preserve">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</w:t>
            </w:r>
            <w:proofErr w:type="gramStart"/>
            <w:r w:rsidRPr="008967FC">
              <w:rPr>
                <w:i/>
                <w:sz w:val="28"/>
                <w:szCs w:val="28"/>
              </w:rPr>
              <w:t>й(</w:t>
            </w:r>
            <w:proofErr w:type="gramEnd"/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381554" w:rsidP="004C77CB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1E707E" w:rsidRPr="008967FC">
              <w:rPr>
                <w:iCs/>
                <w:sz w:val="28"/>
                <w:szCs w:val="28"/>
              </w:rPr>
              <w:t xml:space="preserve"> аттестация в виде </w:t>
            </w:r>
            <w:r w:rsidR="001E707E" w:rsidRPr="008967FC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F7038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82"/>
        <w:gridCol w:w="9218"/>
        <w:gridCol w:w="1346"/>
        <w:gridCol w:w="1620"/>
      </w:tblGrid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F7038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F70387" w:rsidRPr="00863F3D" w:rsidRDefault="00F70387" w:rsidP="00F70387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647745" w:rsidRDefault="00F70387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8967FC" w:rsidTr="00F70387">
        <w:trPr>
          <w:trHeight w:val="289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</w:t>
            </w:r>
            <w:r w:rsidR="00334C1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1-</w:t>
            </w:r>
            <w:r w:rsidR="009E4B2C">
              <w:rPr>
                <w:bCs/>
                <w:sz w:val="24"/>
                <w:szCs w:val="24"/>
              </w:rPr>
              <w:t xml:space="preserve">  </w:t>
            </w:r>
            <w:r w:rsidR="00334C1D">
              <w:rPr>
                <w:bCs/>
                <w:sz w:val="24"/>
                <w:szCs w:val="24"/>
              </w:rPr>
              <w:t>ОК</w:t>
            </w:r>
            <w:proofErr w:type="gramStart"/>
            <w:r w:rsidR="00334C1D"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782F82">
              <w:rPr>
                <w:bCs/>
                <w:sz w:val="24"/>
                <w:szCs w:val="24"/>
              </w:rPr>
              <w:t>задание</w:t>
            </w:r>
            <w:proofErr w:type="gramStart"/>
            <w:r w:rsidRPr="00782F82">
              <w:rPr>
                <w:bCs/>
                <w:sz w:val="24"/>
                <w:szCs w:val="24"/>
              </w:rPr>
              <w:t>:п</w:t>
            </w:r>
            <w:proofErr w:type="gramEnd"/>
            <w:r w:rsidRPr="00782F82">
              <w:rPr>
                <w:bCs/>
                <w:sz w:val="24"/>
                <w:szCs w:val="24"/>
              </w:rPr>
              <w:t>роработка</w:t>
            </w:r>
            <w:proofErr w:type="spellEnd"/>
            <w:r w:rsidRPr="00782F82">
              <w:rPr>
                <w:bCs/>
                <w:sz w:val="24"/>
                <w:szCs w:val="24"/>
              </w:rPr>
              <w:t xml:space="preserve">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lastRenderedPageBreak/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647745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Default="006D2010" w:rsidP="006D2010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0227B4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40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6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13A0F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935392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AB6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647745">
              <w:rPr>
                <w:bCs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71892" w:rsidRPr="00647745" w:rsidRDefault="00271892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71892" w:rsidRPr="00647745" w:rsidRDefault="00271892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Виды </w:t>
            </w:r>
            <w:proofErr w:type="spellStart"/>
            <w:r w:rsidRPr="00776FC3">
              <w:rPr>
                <w:sz w:val="24"/>
                <w:szCs w:val="24"/>
              </w:rPr>
              <w:t>нагружений</w:t>
            </w:r>
            <w:proofErr w:type="spellEnd"/>
            <w:r w:rsidRPr="00776FC3">
              <w:rPr>
                <w:sz w:val="24"/>
                <w:szCs w:val="24"/>
              </w:rPr>
              <w:t>. Напряжения.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388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D065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D065E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D065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D065E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b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D065E">
              <w:rPr>
                <w:sz w:val="24"/>
                <w:szCs w:val="24"/>
              </w:rPr>
              <w:t>повторное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065E">
              <w:rPr>
                <w:sz w:val="24"/>
                <w:szCs w:val="24"/>
              </w:rPr>
              <w:t>нагружение</w:t>
            </w:r>
            <w:proofErr w:type="spellEnd"/>
            <w:r w:rsidRPr="00AD065E">
              <w:rPr>
                <w:sz w:val="24"/>
                <w:szCs w:val="24"/>
              </w:rPr>
              <w:t>. Механические свойства материалов при сжатии”.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Чистый сдвиг. Закон Гука при сдвиге. Крутящий момент. Построение эпюр.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873476">
              <w:rPr>
                <w:b/>
                <w:bCs/>
                <w:sz w:val="24"/>
                <w:szCs w:val="24"/>
              </w:rPr>
              <w:t>обучающихся</w:t>
            </w:r>
            <w:proofErr w:type="gramStart"/>
            <w:r w:rsidRPr="00873476">
              <w:rPr>
                <w:b/>
                <w:bCs/>
                <w:sz w:val="24"/>
                <w:szCs w:val="24"/>
              </w:rPr>
              <w:t>:</w:t>
            </w:r>
            <w:r w:rsidRPr="00B003B3">
              <w:rPr>
                <w:bCs/>
                <w:sz w:val="24"/>
                <w:szCs w:val="24"/>
              </w:rPr>
              <w:t>П</w:t>
            </w:r>
            <w:proofErr w:type="gramEnd"/>
            <w:r w:rsidRPr="00B003B3">
              <w:rPr>
                <w:bCs/>
                <w:sz w:val="24"/>
                <w:szCs w:val="24"/>
              </w:rPr>
              <w:t>одготовка</w:t>
            </w:r>
            <w:proofErr w:type="spellEnd"/>
            <w:r w:rsidRPr="00B003B3">
              <w:rPr>
                <w:bCs/>
                <w:sz w:val="24"/>
                <w:szCs w:val="24"/>
              </w:rPr>
              <w:t xml:space="preserve">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CC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 xml:space="preserve">Содержание учебного </w:t>
            </w:r>
            <w:proofErr w:type="spellStart"/>
            <w:r w:rsidRPr="00CC08CE">
              <w:rPr>
                <w:b/>
                <w:bCs/>
                <w:sz w:val="24"/>
                <w:szCs w:val="24"/>
              </w:rPr>
              <w:t>материала</w:t>
            </w:r>
            <w:proofErr w:type="gramStart"/>
            <w:r w:rsidRPr="00CC08CE">
              <w:rPr>
                <w:b/>
                <w:bCs/>
                <w:sz w:val="24"/>
                <w:szCs w:val="24"/>
              </w:rPr>
              <w:t>:</w:t>
            </w:r>
            <w:r w:rsidRPr="00CC08CE">
              <w:rPr>
                <w:sz w:val="24"/>
                <w:szCs w:val="24"/>
              </w:rPr>
              <w:t>П</w:t>
            </w:r>
            <w:proofErr w:type="gramEnd"/>
            <w:r w:rsidRPr="00CC08CE">
              <w:rPr>
                <w:sz w:val="24"/>
                <w:szCs w:val="24"/>
              </w:rPr>
              <w:t>остроение</w:t>
            </w:r>
            <w:proofErr w:type="spellEnd"/>
            <w:r w:rsidRPr="00CC08CE">
              <w:rPr>
                <w:sz w:val="24"/>
                <w:szCs w:val="24"/>
              </w:rPr>
              <w:t xml:space="preserve">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CC08CE">
              <w:rPr>
                <w:b/>
                <w:bCs/>
                <w:sz w:val="24"/>
                <w:szCs w:val="24"/>
              </w:rPr>
              <w:t>обучающихся</w:t>
            </w:r>
            <w:proofErr w:type="gramStart"/>
            <w:r w:rsidRPr="00CC08CE">
              <w:rPr>
                <w:b/>
                <w:bCs/>
                <w:sz w:val="24"/>
                <w:szCs w:val="24"/>
              </w:rPr>
              <w:t>:</w:t>
            </w:r>
            <w:r w:rsidRPr="00B003B3">
              <w:rPr>
                <w:bCs/>
                <w:sz w:val="24"/>
                <w:szCs w:val="24"/>
              </w:rPr>
              <w:t>П</w:t>
            </w:r>
            <w:proofErr w:type="gramEnd"/>
            <w:r w:rsidRPr="00B003B3">
              <w:rPr>
                <w:bCs/>
                <w:sz w:val="24"/>
                <w:szCs w:val="24"/>
              </w:rPr>
              <w:t>одготовка</w:t>
            </w:r>
            <w:proofErr w:type="spellEnd"/>
            <w:r w:rsidRPr="00B003B3">
              <w:rPr>
                <w:bCs/>
                <w:sz w:val="24"/>
                <w:szCs w:val="24"/>
              </w:rPr>
              <w:t xml:space="preserve">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Разъемные и неразъемные 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 xml:space="preserve">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Виды разрушения зубьев. Материалы зубчатых </w:t>
            </w:r>
            <w:proofErr w:type="spellStart"/>
            <w:r w:rsidRPr="00C12C16">
              <w:rPr>
                <w:sz w:val="24"/>
                <w:szCs w:val="24"/>
              </w:rPr>
              <w:t>колёс.Основные</w:t>
            </w:r>
            <w:proofErr w:type="spellEnd"/>
            <w:r w:rsidRPr="00C12C16">
              <w:rPr>
                <w:sz w:val="24"/>
                <w:szCs w:val="24"/>
              </w:rPr>
              <w:t xml:space="preserve"> параметры зубчатого зацепления.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proofErr w:type="spellStart"/>
            <w:r w:rsidRPr="00C12C16">
              <w:rPr>
                <w:sz w:val="24"/>
                <w:szCs w:val="24"/>
              </w:rPr>
              <w:t>передачи.Конические</w:t>
            </w:r>
            <w:proofErr w:type="spellEnd"/>
            <w:r w:rsidRPr="00C12C16">
              <w:rPr>
                <w:sz w:val="24"/>
                <w:szCs w:val="24"/>
              </w:rPr>
              <w:t xml:space="preserve"> передачи.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Default="00B31B37" w:rsidP="00B31B37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96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93"/>
        <w:gridCol w:w="9215"/>
        <w:gridCol w:w="1352"/>
        <w:gridCol w:w="1648"/>
      </w:tblGrid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752B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5752BA" w:rsidRPr="00863F3D" w:rsidRDefault="005752BA" w:rsidP="00D51B61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5752BA" w:rsidRDefault="005752BA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Аксиомы статики. Связи и реакции связей. Определение направления реакций основных типов связей</w:t>
            </w:r>
            <w:r w:rsidRPr="00575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</w:t>
            </w:r>
            <w:r>
              <w:rPr>
                <w:sz w:val="24"/>
                <w:szCs w:val="24"/>
              </w:rPr>
              <w:t>действующей. Условия равновесия</w:t>
            </w:r>
            <w:r w:rsidRPr="005752BA">
              <w:rPr>
                <w:sz w:val="24"/>
                <w:szCs w:val="24"/>
              </w:rPr>
              <w:t>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 xml:space="preserve">”, решение </w:t>
            </w:r>
            <w:r w:rsidRPr="005752BA">
              <w:rPr>
                <w:sz w:val="24"/>
                <w:szCs w:val="24"/>
              </w:rPr>
              <w:lastRenderedPageBreak/>
              <w:t>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Пара сил и ее характеристики. Момент пары. Эквивалентные пары. Сложение пар. Условие равновесия системы пар сил. Мо</w:t>
            </w:r>
            <w:r>
              <w:rPr>
                <w:sz w:val="24"/>
                <w:szCs w:val="24"/>
              </w:rPr>
              <w:t xml:space="preserve">мент силы относительно точки. </w:t>
            </w:r>
            <w:r w:rsidRPr="005752BA">
              <w:rPr>
                <w:sz w:val="24"/>
                <w:szCs w:val="24"/>
              </w:rPr>
              <w:t>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Равновесие плоской системы произвольно расположенных сил. Три вида уравнений равновесия</w:t>
            </w:r>
            <w:r w:rsidRPr="005752BA">
              <w:rPr>
                <w:i/>
                <w:sz w:val="24"/>
                <w:szCs w:val="24"/>
              </w:rPr>
              <w:t xml:space="preserve">. </w:t>
            </w:r>
            <w:r w:rsidRPr="005752BA">
              <w:rPr>
                <w:sz w:val="24"/>
                <w:szCs w:val="24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Подготовка к </w:t>
            </w:r>
            <w:proofErr w:type="spellStart"/>
            <w:r w:rsidRPr="005752BA">
              <w:rPr>
                <w:bCs/>
                <w:sz w:val="24"/>
                <w:szCs w:val="24"/>
              </w:rPr>
              <w:t>практическомузанятию</w:t>
            </w:r>
            <w:proofErr w:type="spellEnd"/>
            <w:r w:rsidRPr="005752BA">
              <w:rPr>
                <w:bCs/>
                <w:sz w:val="24"/>
                <w:szCs w:val="24"/>
              </w:rPr>
              <w:t xml:space="preserve"> №2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Pr="005752BA">
              <w:rPr>
                <w:b/>
                <w:sz w:val="24"/>
                <w:szCs w:val="24"/>
              </w:rPr>
              <w:lastRenderedPageBreak/>
              <w:t>кинематика точки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Вращательное движение твердого тела вокруг неподвижной оси.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Угол поворота, угловая скорость, угловое ускорение.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</w:t>
            </w:r>
            <w:proofErr w:type="gramStart"/>
            <w:r w:rsidRPr="005752B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Предмет динамики. Основные понятия и аксиомы динамики.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силе инерции. Принцип Даламбера. Метод кинетостатики. Понятие «сила трения»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Работа равнодействующей </w:t>
            </w:r>
            <w:r w:rsidRPr="005752BA">
              <w:rPr>
                <w:sz w:val="24"/>
                <w:szCs w:val="24"/>
              </w:rPr>
              <w:lastRenderedPageBreak/>
              <w:t xml:space="preserve">силы (без вывода). Понятие о </w:t>
            </w:r>
            <w:r>
              <w:rPr>
                <w:sz w:val="24"/>
                <w:szCs w:val="24"/>
              </w:rPr>
              <w:t xml:space="preserve">работе переменной силы. Работа </w:t>
            </w:r>
            <w:r w:rsidRPr="005752BA">
              <w:rPr>
                <w:sz w:val="24"/>
                <w:szCs w:val="24"/>
              </w:rPr>
              <w:t>и мощность при вращательном движении.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механическом коэффициенте полезного действия. 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 xml:space="preserve">: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>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334C1D" w:rsidRPr="005752BA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Испытания материалов на растяжение и сжатие при </w:t>
            </w:r>
            <w:proofErr w:type="spellStart"/>
            <w:r w:rsidRPr="005752BA">
              <w:rPr>
                <w:sz w:val="24"/>
                <w:szCs w:val="24"/>
              </w:rPr>
              <w:t>статическомнагружении</w:t>
            </w:r>
            <w:proofErr w:type="spellEnd"/>
            <w:r w:rsidRPr="005752BA">
              <w:rPr>
                <w:sz w:val="24"/>
                <w:szCs w:val="24"/>
              </w:rPr>
              <w:t>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334C1D" w:rsidRDefault="00334C1D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Срез, основные расчетные предпосылки, расчетные формулы, условие прочности.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637EB5" w:rsidRPr="005752BA" w:rsidRDefault="00637EB5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637EB5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</w:t>
            </w:r>
            <w:r>
              <w:rPr>
                <w:sz w:val="24"/>
                <w:szCs w:val="24"/>
              </w:rPr>
              <w:t>ластичных и хрупких материалов.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>Основные понятия и определения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  <w:p w:rsidR="00D51B61" w:rsidRPr="005752BA" w:rsidRDefault="00D51B61" w:rsidP="00D51B61">
            <w:pPr>
              <w:ind w:firstLine="992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</w:t>
            </w:r>
            <w:proofErr w:type="spellStart"/>
            <w:r w:rsidRPr="005752BA">
              <w:rPr>
                <w:sz w:val="24"/>
                <w:szCs w:val="24"/>
              </w:rPr>
              <w:t>эвольвентных</w:t>
            </w:r>
            <w:proofErr w:type="spellEnd"/>
            <w:r w:rsidRPr="005752BA">
              <w:rPr>
                <w:sz w:val="24"/>
                <w:szCs w:val="24"/>
              </w:rPr>
              <w:t xml:space="preserve"> колес. Геометрия зацепления. Краткие сведения об изготовлении зубчатых </w:t>
            </w:r>
            <w:proofErr w:type="spellStart"/>
            <w:r w:rsidRPr="005752BA">
              <w:rPr>
                <w:sz w:val="24"/>
                <w:szCs w:val="24"/>
              </w:rPr>
              <w:t>колес.Виды</w:t>
            </w:r>
            <w:proofErr w:type="spellEnd"/>
            <w:r w:rsidRPr="005752BA">
              <w:rPr>
                <w:sz w:val="24"/>
                <w:szCs w:val="24"/>
              </w:rPr>
              <w:t xml:space="preserve">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</w:t>
            </w:r>
            <w:r w:rsidRPr="005752BA">
              <w:rPr>
                <w:sz w:val="24"/>
                <w:szCs w:val="24"/>
              </w:rPr>
              <w:lastRenderedPageBreak/>
              <w:t xml:space="preserve">действующие в зацеплении конических передач.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Фрикционные передачи. Классификация, п</w:t>
            </w:r>
            <w:r w:rsidRPr="005752BA">
              <w:rPr>
                <w:sz w:val="24"/>
                <w:szCs w:val="24"/>
              </w:rPr>
              <w:t>ринцип работы, область применения, материалы катков, виды разрушения.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</w:t>
            </w:r>
            <w:proofErr w:type="spellStart"/>
            <w:r w:rsidRPr="005752BA">
              <w:rPr>
                <w:sz w:val="24"/>
                <w:szCs w:val="24"/>
              </w:rPr>
              <w:t>поликлиновыми</w:t>
            </w:r>
            <w:proofErr w:type="spellEnd"/>
            <w:r w:rsidRPr="005752BA">
              <w:rPr>
                <w:sz w:val="24"/>
                <w:szCs w:val="24"/>
              </w:rPr>
              <w:t xml:space="preserve"> ремнями.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цепных передачах. Детали цепных передач.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Валы и оси, их виды, назначение, конструкция.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Материалы валов и осей.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Виды разрушения и основные критерии работоспособности.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Подшипники качения. Устройство, классификация и основные типы. Особенности работы.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Смазка и уплотнения.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Применение подшипников</w:t>
            </w:r>
            <w:r>
              <w:rPr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</w:t>
            </w:r>
            <w:proofErr w:type="gramStart"/>
            <w:r w:rsidRPr="005752B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Муфты, их назначение и классификация. Устройство и принцип действия основных типов муфт. Методика подбора муфт и их расчет. Муфты, 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Итого: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Обязательная аудиторная нагрузка: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занятия:                                                                                    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20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─ модели, макеты (редукторы, зубчатые колеса, вал, модели: ременной, цепной, зубчатой передач, модель </w:t>
      </w:r>
      <w:proofErr w:type="spellStart"/>
      <w:r>
        <w:rPr>
          <w:bCs/>
          <w:sz w:val="28"/>
          <w:szCs w:val="28"/>
        </w:rPr>
        <w:t>кривошипо-ползунного</w:t>
      </w:r>
      <w:proofErr w:type="spellEnd"/>
      <w:r>
        <w:rPr>
          <w:bCs/>
          <w:sz w:val="28"/>
          <w:szCs w:val="28"/>
        </w:rPr>
        <w:t xml:space="preserve"> механизма, модели пространственной системы сил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OVERHEADmodel</w:t>
      </w:r>
      <w:proofErr w:type="spellEnd"/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>Сербин, Е.П., Техническая механика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учебник / Е.П. Сербин. — Москва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</w:t>
      </w:r>
      <w:proofErr w:type="spellStart"/>
      <w:r w:rsidR="00F84600" w:rsidRPr="00F84600">
        <w:rPr>
          <w:sz w:val="28"/>
          <w:szCs w:val="28"/>
        </w:rPr>
        <w:t>КноРус</w:t>
      </w:r>
      <w:proofErr w:type="spellEnd"/>
      <w:r w:rsidR="00F84600" w:rsidRPr="00F84600">
        <w:rPr>
          <w:sz w:val="28"/>
          <w:szCs w:val="28"/>
        </w:rPr>
        <w:t xml:space="preserve">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proofErr w:type="spellStart"/>
      <w:r w:rsidR="00F84600" w:rsidRPr="00F84600">
        <w:rPr>
          <w:sz w:val="28"/>
          <w:szCs w:val="28"/>
          <w:lang w:val="en-US"/>
        </w:rPr>
        <w:t>ru</w:t>
      </w:r>
      <w:proofErr w:type="spellEnd"/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 w:rsidRPr="00087630">
        <w:rPr>
          <w:bCs/>
          <w:sz w:val="28"/>
          <w:szCs w:val="28"/>
        </w:rPr>
        <w:t>Зиомковский</w:t>
      </w:r>
      <w:proofErr w:type="spellEnd"/>
      <w:r w:rsidRPr="0008763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 xml:space="preserve">В.М.Техническая механика: учебное пособие/В.М. </w:t>
      </w:r>
      <w:proofErr w:type="spellStart"/>
      <w:r w:rsidRPr="00087630">
        <w:rPr>
          <w:bCs/>
          <w:sz w:val="28"/>
          <w:szCs w:val="28"/>
        </w:rPr>
        <w:t>Зиомковский</w:t>
      </w:r>
      <w:proofErr w:type="spellEnd"/>
      <w:r w:rsidRPr="00087630">
        <w:rPr>
          <w:bCs/>
          <w:sz w:val="28"/>
          <w:szCs w:val="28"/>
        </w:rPr>
        <w:t>,</w:t>
      </w:r>
      <w:r w:rsidRPr="00087630">
        <w:t xml:space="preserve"> </w:t>
      </w:r>
      <w:r w:rsidRPr="00087630">
        <w:rPr>
          <w:bCs/>
          <w:sz w:val="28"/>
          <w:szCs w:val="28"/>
        </w:rPr>
        <w:t xml:space="preserve">И.В. </w:t>
      </w:r>
      <w:proofErr w:type="gramStart"/>
      <w:r w:rsidRPr="00087630">
        <w:rPr>
          <w:bCs/>
          <w:sz w:val="28"/>
          <w:szCs w:val="28"/>
        </w:rPr>
        <w:t>Троицкий</w:t>
      </w:r>
      <w:proofErr w:type="gramEnd"/>
      <w:r w:rsidRPr="00087630">
        <w:rPr>
          <w:bCs/>
          <w:sz w:val="28"/>
          <w:szCs w:val="28"/>
        </w:rPr>
        <w:t>.-</w:t>
      </w:r>
      <w:r w:rsidR="00B53B8D">
        <w:rPr>
          <w:bCs/>
          <w:sz w:val="28"/>
          <w:szCs w:val="28"/>
        </w:rPr>
        <w:t xml:space="preserve"> </w:t>
      </w:r>
      <w:proofErr w:type="spellStart"/>
      <w:r w:rsidRPr="00087630">
        <w:rPr>
          <w:bCs/>
          <w:sz w:val="28"/>
          <w:szCs w:val="28"/>
        </w:rPr>
        <w:t>М.:Издательство</w:t>
      </w:r>
      <w:proofErr w:type="spellEnd"/>
      <w:r w:rsidRPr="00087630">
        <w:rPr>
          <w:bCs/>
          <w:sz w:val="28"/>
          <w:szCs w:val="28"/>
        </w:rPr>
        <w:t xml:space="preserve">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 xml:space="preserve">Нужных М.Н., преподаватель филиала </w:t>
      </w:r>
      <w:proofErr w:type="spellStart"/>
      <w:r w:rsidR="001514C0">
        <w:rPr>
          <w:bCs/>
          <w:sz w:val="28"/>
          <w:szCs w:val="28"/>
        </w:rPr>
        <w:t>СамГУПС</w:t>
      </w:r>
      <w:proofErr w:type="spellEnd"/>
      <w:r w:rsidR="001514C0">
        <w:rPr>
          <w:bCs/>
          <w:sz w:val="28"/>
          <w:szCs w:val="28"/>
        </w:rPr>
        <w:t xml:space="preserve"> в </w:t>
      </w:r>
      <w:proofErr w:type="gramStart"/>
      <w:r w:rsidR="001514C0">
        <w:rPr>
          <w:bCs/>
          <w:sz w:val="28"/>
          <w:szCs w:val="28"/>
        </w:rPr>
        <w:t>г</w:t>
      </w:r>
      <w:proofErr w:type="gramEnd"/>
      <w:r w:rsidR="001514C0">
        <w:rPr>
          <w:bCs/>
          <w:sz w:val="28"/>
          <w:szCs w:val="28"/>
        </w:rPr>
        <w:t>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</w:t>
      </w:r>
      <w:proofErr w:type="gramStart"/>
      <w:r w:rsidR="00BA6970">
        <w:rPr>
          <w:sz w:val="28"/>
          <w:szCs w:val="28"/>
        </w:rPr>
        <w:t xml:space="preserve"> :</w:t>
      </w:r>
      <w:proofErr w:type="gramEnd"/>
      <w:r w:rsidR="00BA6970">
        <w:rPr>
          <w:sz w:val="28"/>
          <w:szCs w:val="28"/>
        </w:rPr>
        <w:t xml:space="preserve"> учебное пособие / И.В. Мещерский ; под редакцией В.А. Пальмова, Д.Р. </w:t>
      </w:r>
      <w:proofErr w:type="spellStart"/>
      <w:r w:rsidR="00BA6970">
        <w:rPr>
          <w:sz w:val="28"/>
          <w:szCs w:val="28"/>
        </w:rPr>
        <w:t>Меркина</w:t>
      </w:r>
      <w:proofErr w:type="spellEnd"/>
      <w:r w:rsidR="00BA6970">
        <w:rPr>
          <w:sz w:val="28"/>
          <w:szCs w:val="28"/>
        </w:rPr>
        <w:t>. — 52-е изд., стер. — Санкт-Петербург</w:t>
      </w:r>
      <w:proofErr w:type="gramStart"/>
      <w:r w:rsidR="00BA6970">
        <w:rPr>
          <w:sz w:val="28"/>
          <w:szCs w:val="28"/>
        </w:rPr>
        <w:t xml:space="preserve"> :</w:t>
      </w:r>
      <w:proofErr w:type="gramEnd"/>
      <w:r w:rsidR="00BA6970">
        <w:rPr>
          <w:sz w:val="28"/>
          <w:szCs w:val="28"/>
        </w:rPr>
        <w:t xml:space="preserve"> Лань, 2019. — 448 с. — ISBN 978-5-8114-4190-7. — Текст</w:t>
      </w:r>
      <w:proofErr w:type="gramStart"/>
      <w:r w:rsidR="00BA6970">
        <w:rPr>
          <w:sz w:val="28"/>
          <w:szCs w:val="28"/>
        </w:rPr>
        <w:t> :</w:t>
      </w:r>
      <w:proofErr w:type="gramEnd"/>
      <w:r w:rsidR="00BA6970">
        <w:rPr>
          <w:sz w:val="28"/>
          <w:szCs w:val="28"/>
        </w:rPr>
        <w:t xml:space="preserve"> электронный // Лань : электронно-библиотечная система. — URL: https://e.lanbook.com/book/115729. — Режим доступа: для </w:t>
      </w:r>
      <w:proofErr w:type="spellStart"/>
      <w:r w:rsidR="00BA6970">
        <w:rPr>
          <w:sz w:val="28"/>
          <w:szCs w:val="28"/>
        </w:rPr>
        <w:t>авториз</w:t>
      </w:r>
      <w:proofErr w:type="spellEnd"/>
      <w:r w:rsidR="00BA6970">
        <w:rPr>
          <w:sz w:val="28"/>
          <w:szCs w:val="28"/>
        </w:rPr>
        <w:t>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4600" w:rsidRPr="00F84600">
        <w:rPr>
          <w:sz w:val="28"/>
          <w:szCs w:val="28"/>
        </w:rPr>
        <w:t>Эрдеди</w:t>
      </w:r>
      <w:proofErr w:type="spellEnd"/>
      <w:r w:rsidR="00F84600" w:rsidRPr="00F84600">
        <w:rPr>
          <w:sz w:val="28"/>
          <w:szCs w:val="28"/>
        </w:rPr>
        <w:t>, А.А., Теория механизмов и детали машин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учебное пособие / А.А. </w:t>
      </w:r>
      <w:proofErr w:type="spellStart"/>
      <w:r w:rsidR="00F84600" w:rsidRPr="00F84600">
        <w:rPr>
          <w:sz w:val="28"/>
          <w:szCs w:val="28"/>
        </w:rPr>
        <w:t>Эрдеди</w:t>
      </w:r>
      <w:proofErr w:type="spellEnd"/>
      <w:r w:rsidR="00F84600" w:rsidRPr="00F84600">
        <w:rPr>
          <w:sz w:val="28"/>
          <w:szCs w:val="28"/>
        </w:rPr>
        <w:t xml:space="preserve">, Н.А. </w:t>
      </w:r>
      <w:proofErr w:type="spellStart"/>
      <w:r w:rsidR="00F84600" w:rsidRPr="00F84600">
        <w:rPr>
          <w:sz w:val="28"/>
          <w:szCs w:val="28"/>
        </w:rPr>
        <w:t>Эрдеди</w:t>
      </w:r>
      <w:proofErr w:type="spellEnd"/>
      <w:r w:rsidR="00F84600" w:rsidRPr="00F84600">
        <w:rPr>
          <w:sz w:val="28"/>
          <w:szCs w:val="28"/>
        </w:rPr>
        <w:t>. — Москва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</w:t>
      </w:r>
      <w:proofErr w:type="spellStart"/>
      <w:r w:rsidR="00F84600" w:rsidRPr="00F84600">
        <w:rPr>
          <w:sz w:val="28"/>
          <w:szCs w:val="28"/>
        </w:rPr>
        <w:t>КноРус</w:t>
      </w:r>
      <w:proofErr w:type="spellEnd"/>
      <w:r w:rsidR="00F84600" w:rsidRPr="00F84600">
        <w:rPr>
          <w:sz w:val="28"/>
          <w:szCs w:val="28"/>
        </w:rPr>
        <w:t xml:space="preserve">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proofErr w:type="spellStart"/>
      <w:r w:rsidR="00F84600" w:rsidRPr="00F84600">
        <w:rPr>
          <w:sz w:val="28"/>
          <w:szCs w:val="28"/>
          <w:lang w:val="en-US"/>
        </w:rPr>
        <w:t>ru</w:t>
      </w:r>
      <w:proofErr w:type="spellEnd"/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</w:t>
      </w:r>
      <w:proofErr w:type="gramStart"/>
      <w:r w:rsidR="00F84600" w:rsidRPr="00F84600">
        <w:rPr>
          <w:sz w:val="28"/>
          <w:szCs w:val="28"/>
        </w:rPr>
        <w:t xml:space="preserve"> :</w:t>
      </w:r>
      <w:proofErr w:type="gramEnd"/>
      <w:r w:rsidR="00F84600" w:rsidRPr="00F84600">
        <w:rPr>
          <w:sz w:val="28"/>
          <w:szCs w:val="28"/>
        </w:rPr>
        <w:t xml:space="preserve">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>, Н.А., Сопротивление материалов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учебное пособие / Н.А.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 xml:space="preserve">, А.А.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>. — Москва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</w:t>
      </w:r>
      <w:proofErr w:type="spellStart"/>
      <w:r w:rsidRPr="00F84600">
        <w:rPr>
          <w:sz w:val="28"/>
          <w:szCs w:val="28"/>
        </w:rPr>
        <w:t>КноРус</w:t>
      </w:r>
      <w:proofErr w:type="spellEnd"/>
      <w:r w:rsidRPr="00F84600">
        <w:rPr>
          <w:sz w:val="28"/>
          <w:szCs w:val="28"/>
        </w:rPr>
        <w:t xml:space="preserve">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proofErr w:type="spellStart"/>
      <w:r w:rsidRPr="00F84600">
        <w:rPr>
          <w:sz w:val="28"/>
          <w:szCs w:val="28"/>
          <w:lang w:val="en-US"/>
        </w:rPr>
        <w:t>ru</w:t>
      </w:r>
      <w:proofErr w:type="spellEnd"/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>, А.А., Теоретическая механика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учебное пособие / А.А.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 xml:space="preserve">, Н.А. </w:t>
      </w:r>
      <w:proofErr w:type="spellStart"/>
      <w:r w:rsidRPr="00F84600">
        <w:rPr>
          <w:sz w:val="28"/>
          <w:szCs w:val="28"/>
        </w:rPr>
        <w:t>Эрдеди</w:t>
      </w:r>
      <w:proofErr w:type="spellEnd"/>
      <w:r w:rsidRPr="00F84600">
        <w:rPr>
          <w:sz w:val="28"/>
          <w:szCs w:val="28"/>
        </w:rPr>
        <w:t>. — Москва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</w:t>
      </w:r>
      <w:proofErr w:type="spellStart"/>
      <w:r w:rsidRPr="00F84600">
        <w:rPr>
          <w:sz w:val="28"/>
          <w:szCs w:val="28"/>
        </w:rPr>
        <w:t>КноРус</w:t>
      </w:r>
      <w:proofErr w:type="spellEnd"/>
      <w:r w:rsidRPr="00F84600">
        <w:rPr>
          <w:sz w:val="28"/>
          <w:szCs w:val="28"/>
        </w:rPr>
        <w:t xml:space="preserve">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proofErr w:type="spellStart"/>
      <w:r w:rsidRPr="00F84600">
        <w:rPr>
          <w:sz w:val="28"/>
          <w:szCs w:val="28"/>
          <w:lang w:val="en-US"/>
        </w:rPr>
        <w:t>ru</w:t>
      </w:r>
      <w:proofErr w:type="spellEnd"/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</w:t>
      </w:r>
      <w:proofErr w:type="gramStart"/>
      <w:r w:rsidRPr="00F84600">
        <w:rPr>
          <w:sz w:val="28"/>
          <w:szCs w:val="28"/>
        </w:rPr>
        <w:t xml:space="preserve"> :</w:t>
      </w:r>
      <w:proofErr w:type="gramEnd"/>
      <w:r w:rsidRPr="00F84600">
        <w:rPr>
          <w:sz w:val="28"/>
          <w:szCs w:val="28"/>
        </w:rPr>
        <w:t xml:space="preserve">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</w:t>
      </w:r>
      <w:proofErr w:type="gramStart"/>
      <w:r>
        <w:rPr>
          <w:sz w:val="28"/>
          <w:szCs w:val="28"/>
        </w:rPr>
        <w:t>/ )</w:t>
      </w:r>
      <w:proofErr w:type="gramEnd"/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C12E2B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1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proofErr w:type="spellStart"/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proofErr w:type="spellEnd"/>
        <w:r w:rsidR="00BA6970">
          <w:rPr>
            <w:rStyle w:val="a9"/>
            <w:bCs/>
            <w:sz w:val="28"/>
            <w:szCs w:val="28"/>
          </w:rPr>
          <w:t>.</w:t>
        </w:r>
        <w:proofErr w:type="spellStart"/>
        <w:r w:rsidR="00BA6970">
          <w:rPr>
            <w:rStyle w:val="a9"/>
            <w:bCs/>
            <w:sz w:val="28"/>
            <w:szCs w:val="28"/>
            <w:lang w:val="en-US"/>
          </w:rPr>
          <w:t>ru</w:t>
        </w:r>
        <w:proofErr w:type="spellEnd"/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</w:t>
      </w:r>
      <w:proofErr w:type="spellStart"/>
      <w:r>
        <w:rPr>
          <w:sz w:val="28"/>
          <w:szCs w:val="28"/>
        </w:rPr>
        <w:t>Варгина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Физика, химия, математика студентам и школьникам. Режим доступа: </w:t>
      </w:r>
      <w:hyperlink r:id="rId12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C12E2B" w:rsidP="00BA6970">
      <w:pPr>
        <w:spacing w:line="360" w:lineRule="auto"/>
        <w:rPr>
          <w:sz w:val="28"/>
          <w:szCs w:val="28"/>
        </w:rPr>
      </w:pPr>
      <w:hyperlink r:id="rId13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exir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termeh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ploskaya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sistema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shodyaschisa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sil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  А.Н. Тарских Основы технической механики - электронный 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Режим доступа: </w:t>
      </w:r>
      <w:hyperlink r:id="rId14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C12E2B" w:rsidP="00BA6970">
      <w:pPr>
        <w:spacing w:line="360" w:lineRule="auto"/>
      </w:pPr>
      <w:hyperlink r:id="rId15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1303"/>
        <w:gridCol w:w="3462"/>
        <w:gridCol w:w="2567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F84600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F84600">
              <w:rPr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lastRenderedPageBreak/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1303"/>
        <w:gridCol w:w="3462"/>
        <w:gridCol w:w="2567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</w:t>
            </w:r>
            <w:proofErr w:type="gramStart"/>
            <w:r>
              <w:rPr>
                <w:bCs/>
                <w:sz w:val="24"/>
                <w:szCs w:val="24"/>
              </w:rPr>
              <w:t>9</w:t>
            </w:r>
            <w:proofErr w:type="gramEnd"/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B0" w:rsidRDefault="00AE14B0" w:rsidP="001312E1">
      <w:r>
        <w:separator/>
      </w:r>
    </w:p>
  </w:endnote>
  <w:endnote w:type="continuationSeparator" w:id="0">
    <w:p w:rsidR="00AE14B0" w:rsidRDefault="00AE14B0" w:rsidP="0013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4282"/>
      <w:docPartObj>
        <w:docPartGallery w:val="Page Numbers (Bottom of Page)"/>
        <w:docPartUnique/>
      </w:docPartObj>
    </w:sdtPr>
    <w:sdtContent>
      <w:p w:rsidR="00334C1D" w:rsidRDefault="00C12E2B">
        <w:pPr>
          <w:pStyle w:val="a7"/>
          <w:jc w:val="center"/>
        </w:pPr>
        <w:r>
          <w:fldChar w:fldCharType="begin"/>
        </w:r>
        <w:r w:rsidR="00334C1D">
          <w:instrText xml:space="preserve"> PAGE   \* MERGEFORMAT </w:instrText>
        </w:r>
        <w:r>
          <w:fldChar w:fldCharType="separate"/>
        </w:r>
        <w:r w:rsidR="009E4B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34C1D" w:rsidRDefault="00334C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9E4B2C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9E4B2C">
      <w:rPr>
        <w:noProof/>
      </w:rPr>
      <w:t>29</w:t>
    </w:r>
    <w:r>
      <w:rPr>
        <w:noProof/>
      </w:rPr>
      <w:fldChar w:fldCharType="end"/>
    </w:r>
  </w:p>
  <w:p w:rsidR="00334C1D" w:rsidRDefault="00334C1D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1D" w:rsidRDefault="00334C1D">
    <w:pPr>
      <w:pStyle w:val="a7"/>
      <w:jc w:val="center"/>
    </w:pPr>
  </w:p>
  <w:p w:rsidR="00334C1D" w:rsidRDefault="00334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B0" w:rsidRDefault="00AE14B0" w:rsidP="001312E1">
      <w:r>
        <w:separator/>
      </w:r>
    </w:p>
  </w:footnote>
  <w:footnote w:type="continuationSeparator" w:id="0">
    <w:p w:rsidR="00AE14B0" w:rsidRDefault="00AE14B0" w:rsidP="0013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2C16"/>
    <w:rsid w:val="00C12E2B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A528-C83F-4E19-B989-B298CF38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33</Pages>
  <Words>7771</Words>
  <Characters>44300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2020-02-07T05:05:00Z</cp:lastPrinted>
  <dcterms:created xsi:type="dcterms:W3CDTF">2012-10-26T14:09:00Z</dcterms:created>
  <dcterms:modified xsi:type="dcterms:W3CDTF">2022-12-14T15:41:00Z</dcterms:modified>
</cp:coreProperties>
</file>